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854F0" w:rsidRDefault="008367AB">
      <w:pPr>
        <w:spacing w:after="480"/>
      </w:pPr>
      <w:r>
        <w:rPr>
          <w:noProof/>
        </w:rPr>
        <w:drawing>
          <wp:anchor distT="0" distB="0" distL="114300" distR="114300" simplePos="0" relativeHeight="251659264" behindDoc="1" locked="0" layoutInCell="1" allowOverlap="1">
            <wp:simplePos x="0" y="0"/>
            <wp:positionH relativeFrom="column">
              <wp:posOffset>2324100</wp:posOffset>
            </wp:positionH>
            <wp:positionV relativeFrom="paragraph">
              <wp:posOffset>-28575</wp:posOffset>
            </wp:positionV>
            <wp:extent cx="1133475" cy="952500"/>
            <wp:effectExtent l="0" t="0" r="0" b="0"/>
            <wp:wrapNone/>
            <wp:docPr id="24" name="Picture 1" descr="F:\Project Folder\NIH_Pakistan_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Project Folder\NIH_Pakistan_logo.png"/>
                    <pic:cNvPicPr>
                      <a:picLocks noChangeAspect="1" noChangeArrowheads="1"/>
                    </pic:cNvPicPr>
                  </pic:nvPicPr>
                  <pic:blipFill>
                    <a:blip r:embed="rId7"/>
                    <a:srcRect/>
                    <a:stretch>
                      <a:fillRect/>
                    </a:stretch>
                  </pic:blipFill>
                  <pic:spPr bwMode="auto">
                    <a:xfrm>
                      <a:off x="0" y="0"/>
                      <a:ext cx="1133475" cy="952500"/>
                    </a:xfrm>
                    <a:prstGeom prst="rect">
                      <a:avLst/>
                    </a:prstGeom>
                    <a:noFill/>
                    <a:ln w="9525">
                      <a:noFill/>
                      <a:miter lim="800000"/>
                      <a:headEnd/>
                      <a:tailEnd/>
                    </a:ln>
                  </pic:spPr>
                </pic:pic>
              </a:graphicData>
            </a:graphic>
          </wp:anchor>
        </w:drawing>
      </w:r>
    </w:p>
    <w:p w:rsidR="008367AB" w:rsidRDefault="00C10175" w:rsidP="008367AB">
      <w:pPr>
        <w:ind w:left="-108" w:right="-108" w:firstLine="396"/>
        <w:jc w:val="center"/>
        <w:rPr>
          <w:b/>
          <w:color w:val="000099"/>
          <w:spacing w:val="50"/>
          <w:sz w:val="40"/>
          <w:szCs w:val="40"/>
        </w:rPr>
      </w:pPr>
      <w:r>
        <w:rPr>
          <w:b/>
          <w:color w:val="000099"/>
          <w:spacing w:val="50"/>
          <w:sz w:val="40"/>
          <w:szCs w:val="40"/>
        </w:rPr>
        <w:t xml:space="preserve"> </w:t>
      </w:r>
    </w:p>
    <w:p w:rsidR="008367AB" w:rsidRDefault="008367AB" w:rsidP="008367AB">
      <w:pPr>
        <w:ind w:right="-108"/>
        <w:rPr>
          <w:b/>
          <w:color w:val="000099"/>
          <w:spacing w:val="50"/>
          <w:sz w:val="40"/>
          <w:szCs w:val="40"/>
        </w:rPr>
      </w:pPr>
    </w:p>
    <w:p w:rsidR="008367AB" w:rsidRPr="00873D47" w:rsidRDefault="008367AB" w:rsidP="008367AB">
      <w:pPr>
        <w:ind w:left="-108" w:right="-108" w:firstLine="396"/>
        <w:jc w:val="center"/>
        <w:rPr>
          <w:b/>
          <w:color w:val="000099"/>
          <w:spacing w:val="50"/>
          <w:sz w:val="40"/>
          <w:szCs w:val="40"/>
        </w:rPr>
      </w:pPr>
      <w:r w:rsidRPr="00873D47">
        <w:rPr>
          <w:b/>
          <w:color w:val="000099"/>
          <w:spacing w:val="50"/>
          <w:sz w:val="40"/>
          <w:szCs w:val="40"/>
        </w:rPr>
        <w:t>National Institutes of Health</w:t>
      </w:r>
    </w:p>
    <w:p w:rsidR="008367AB" w:rsidRPr="00873D47" w:rsidRDefault="008367AB" w:rsidP="008367AB">
      <w:pPr>
        <w:ind w:left="180" w:right="-108" w:firstLine="396"/>
        <w:jc w:val="center"/>
        <w:rPr>
          <w:b/>
          <w:color w:val="000099"/>
          <w:spacing w:val="50"/>
          <w:sz w:val="32"/>
          <w:szCs w:val="32"/>
        </w:rPr>
      </w:pPr>
      <w:r w:rsidRPr="00873D47">
        <w:rPr>
          <w:b/>
          <w:color w:val="000099"/>
          <w:spacing w:val="50"/>
          <w:sz w:val="32"/>
          <w:szCs w:val="32"/>
        </w:rPr>
        <w:t>Health Research Institute</w:t>
      </w:r>
    </w:p>
    <w:p w:rsidR="008367AB" w:rsidRPr="00873D47" w:rsidRDefault="008367AB" w:rsidP="008367AB">
      <w:pPr>
        <w:ind w:left="-108" w:right="-108" w:firstLine="396"/>
        <w:jc w:val="center"/>
        <w:rPr>
          <w:b/>
          <w:color w:val="000099"/>
          <w:sz w:val="32"/>
          <w:szCs w:val="32"/>
        </w:rPr>
      </w:pPr>
      <w:r w:rsidRPr="00873D47">
        <w:rPr>
          <w:b/>
          <w:color w:val="000099"/>
          <w:sz w:val="32"/>
          <w:szCs w:val="32"/>
        </w:rPr>
        <w:t>National Bioethics Committee</w:t>
      </w:r>
      <w:r>
        <w:rPr>
          <w:b/>
          <w:color w:val="000099"/>
          <w:sz w:val="32"/>
          <w:szCs w:val="32"/>
        </w:rPr>
        <w:t xml:space="preserve"> f</w:t>
      </w:r>
      <w:r w:rsidRPr="00873D47">
        <w:rPr>
          <w:b/>
          <w:color w:val="000099"/>
          <w:sz w:val="32"/>
          <w:szCs w:val="32"/>
        </w:rPr>
        <w:t>or Research (NBC-R)</w:t>
      </w:r>
    </w:p>
    <w:p w:rsidR="00A854F0" w:rsidRDefault="00A854F0">
      <w:pPr>
        <w:pBdr>
          <w:bottom w:val="single" w:sz="8" w:space="1" w:color="C5A028"/>
        </w:pBdr>
        <w:spacing w:after="160"/>
      </w:pPr>
    </w:p>
    <w:p w:rsidR="00A854F0" w:rsidRDefault="00A854F0">
      <w:pPr>
        <w:spacing w:after="240"/>
      </w:pPr>
    </w:p>
    <w:p w:rsidR="00A854F0" w:rsidRDefault="002078BC">
      <w:pPr>
        <w:spacing w:after="120"/>
        <w:jc w:val="center"/>
      </w:pPr>
      <w:r>
        <w:rPr>
          <w:b/>
          <w:bCs/>
          <w:color w:val="1A5C38"/>
          <w:sz w:val="40"/>
          <w:szCs w:val="40"/>
        </w:rPr>
        <w:t>Guidance for managing ethical i</w:t>
      </w:r>
      <w:r w:rsidR="00103C9E">
        <w:rPr>
          <w:b/>
          <w:bCs/>
          <w:color w:val="1A5C38"/>
          <w:sz w:val="40"/>
          <w:szCs w:val="40"/>
        </w:rPr>
        <w:t>ssues</w:t>
      </w:r>
    </w:p>
    <w:p w:rsidR="00A854F0" w:rsidRDefault="002078BC">
      <w:pPr>
        <w:spacing w:after="200"/>
        <w:jc w:val="center"/>
      </w:pPr>
      <w:r>
        <w:rPr>
          <w:b/>
          <w:bCs/>
          <w:color w:val="1A5C38"/>
          <w:sz w:val="40"/>
          <w:szCs w:val="40"/>
        </w:rPr>
        <w:t>in infectious disease o</w:t>
      </w:r>
      <w:r w:rsidR="00103C9E">
        <w:rPr>
          <w:b/>
          <w:bCs/>
          <w:color w:val="1A5C38"/>
          <w:sz w:val="40"/>
          <w:szCs w:val="40"/>
        </w:rPr>
        <w:t>utbreaks</w:t>
      </w:r>
    </w:p>
    <w:p w:rsidR="00A854F0" w:rsidRDefault="00A854F0">
      <w:pPr>
        <w:pBdr>
          <w:bottom w:val="single" w:sz="8" w:space="1" w:color="1A5C38"/>
        </w:pBdr>
        <w:spacing w:after="160"/>
      </w:pPr>
    </w:p>
    <w:p w:rsidR="00A854F0" w:rsidRDefault="00A854F0">
      <w:pPr>
        <w:spacing w:after="120"/>
      </w:pPr>
    </w:p>
    <w:p w:rsidR="00A854F0" w:rsidRDefault="00103C9E">
      <w:pPr>
        <w:spacing w:after="60"/>
        <w:jc w:val="center"/>
      </w:pPr>
      <w:r>
        <w:rPr>
          <w:i/>
          <w:iCs/>
          <w:color w:val="666666"/>
        </w:rPr>
        <w:t>Adapted from the WHO 2016 Guidance Framework</w:t>
      </w:r>
    </w:p>
    <w:p w:rsidR="002078BC" w:rsidRDefault="00103C9E">
      <w:pPr>
        <w:spacing w:after="480"/>
        <w:jc w:val="center"/>
        <w:rPr>
          <w:b/>
          <w:bCs/>
          <w:color w:val="1A5C38"/>
          <w:sz w:val="24"/>
          <w:szCs w:val="24"/>
        </w:rPr>
      </w:pPr>
      <w:r>
        <w:rPr>
          <w:b/>
          <w:bCs/>
          <w:color w:val="1A5C38"/>
          <w:sz w:val="24"/>
          <w:szCs w:val="24"/>
        </w:rPr>
        <w:t>2025</w:t>
      </w:r>
    </w:p>
    <w:p w:rsidR="002078BC" w:rsidRDefault="002078BC">
      <w:pPr>
        <w:rPr>
          <w:b/>
          <w:bCs/>
          <w:color w:val="1A5C38"/>
          <w:sz w:val="24"/>
          <w:szCs w:val="24"/>
        </w:rPr>
      </w:pPr>
      <w:r>
        <w:rPr>
          <w:b/>
          <w:bCs/>
          <w:color w:val="1A5C38"/>
          <w:sz w:val="24"/>
          <w:szCs w:val="24"/>
        </w:rPr>
        <w:br w:type="page"/>
      </w:r>
    </w:p>
    <w:p w:rsidR="00A854F0" w:rsidRDefault="00103C9E">
      <w:pPr>
        <w:pStyle w:val="Heading1"/>
      </w:pPr>
      <w:r>
        <w:lastRenderedPageBreak/>
        <w:t>Foreword</w:t>
      </w:r>
    </w:p>
    <w:p w:rsidR="00A854F0" w:rsidRDefault="00A854F0">
      <w:pPr>
        <w:pBdr>
          <w:bottom w:val="single" w:sz="8" w:space="1" w:color="1A5C38"/>
        </w:pBdr>
        <w:spacing w:after="160"/>
      </w:pPr>
    </w:p>
    <w:p w:rsidR="00A854F0" w:rsidRDefault="00103C9E">
      <w:pPr>
        <w:spacing w:before="80" w:after="120"/>
        <w:jc w:val="both"/>
      </w:pPr>
      <w:r>
        <w:t>Pakistan faces a recurring burden o</w:t>
      </w:r>
      <w:r w:rsidR="002078BC">
        <w:t>f infectious disease outbreaks</w:t>
      </w:r>
      <w:r>
        <w:t xml:space="preserve"> from poliovirus and dengue to COVID-19, typhoid, and emerging </w:t>
      </w:r>
      <w:r w:rsidR="002078BC">
        <w:t>zoonosis</w:t>
      </w:r>
      <w:r>
        <w:t>. Effective outbreak response requires not only technical and logistical capacity but also a clear ethical framework to guide decisions that affect the rights, dignity, and well-being of individuals and communities.</w:t>
      </w:r>
    </w:p>
    <w:p w:rsidR="00A854F0" w:rsidRDefault="00103C9E">
      <w:pPr>
        <w:spacing w:before="80" w:after="120"/>
        <w:jc w:val="both"/>
      </w:pPr>
      <w:r>
        <w:t>This Guidance, issued by the National Bioethics Committee (NBC) under the Ministry of National Health Services, Regulations &amp; Coordination, provides a concise and actionable framework to help federal and provincial governments, health officials, clinicians, researchers, and civil society navigate ethical challenges during infectious disease emergencies.</w:t>
      </w:r>
    </w:p>
    <w:p w:rsidR="00A854F0" w:rsidRDefault="00103C9E" w:rsidP="002078BC">
      <w:pPr>
        <w:spacing w:before="80" w:after="120"/>
        <w:jc w:val="both"/>
      </w:pPr>
      <w:r>
        <w:t>It draws directly from the WHO 2016 Guidance for Managing Ethical Issues in Infectious Disease Outbreaks and adapts its principles to Pakistan's legal, cultural, religious, and public health context.</w:t>
      </w:r>
    </w:p>
    <w:p w:rsidR="00A854F0" w:rsidRDefault="00103C9E">
      <w:pPr>
        <w:pStyle w:val="Heading1"/>
      </w:pPr>
      <w:r>
        <w:t>1.  Purpose and Scope</w:t>
      </w:r>
    </w:p>
    <w:p w:rsidR="00A854F0" w:rsidRDefault="00A854F0">
      <w:pPr>
        <w:pBdr>
          <w:bottom w:val="single" w:sz="8" w:space="1" w:color="1A5C38"/>
        </w:pBdr>
        <w:spacing w:after="160"/>
      </w:pPr>
    </w:p>
    <w:p w:rsidR="00A854F0" w:rsidRDefault="00103C9E">
      <w:pPr>
        <w:spacing w:before="80" w:after="120"/>
        <w:jc w:val="both"/>
      </w:pPr>
      <w:r>
        <w:t>This Guidance applies to all phases of an infectious disease outbreak — preparedness,</w:t>
      </w:r>
      <w:r w:rsidR="002078BC">
        <w:t xml:space="preserve"> active response, and recovery</w:t>
      </w:r>
      <w:r>
        <w:t xml:space="preserve"> and is intended for:</w:t>
      </w:r>
    </w:p>
    <w:p w:rsidR="00A854F0" w:rsidRDefault="00103C9E">
      <w:pPr>
        <w:pStyle w:val="ListParagraph"/>
        <w:numPr>
          <w:ilvl w:val="0"/>
          <w:numId w:val="2"/>
        </w:numPr>
        <w:spacing w:before="60" w:after="60"/>
      </w:pPr>
      <w:r>
        <w:t>Federal and provincial public health authorities</w:t>
      </w:r>
    </w:p>
    <w:p w:rsidR="00A854F0" w:rsidRDefault="00103C9E">
      <w:pPr>
        <w:pStyle w:val="ListParagraph"/>
        <w:numPr>
          <w:ilvl w:val="0"/>
          <w:numId w:val="2"/>
        </w:numPr>
        <w:spacing w:before="60" w:after="60"/>
      </w:pPr>
      <w:r>
        <w:t>Hospital administrators and frontline healthcare workers</w:t>
      </w:r>
    </w:p>
    <w:p w:rsidR="00A854F0" w:rsidRDefault="00103C9E">
      <w:pPr>
        <w:pStyle w:val="ListParagraph"/>
        <w:numPr>
          <w:ilvl w:val="0"/>
          <w:numId w:val="2"/>
        </w:numPr>
        <w:spacing w:before="60" w:after="60"/>
      </w:pPr>
      <w:r>
        <w:t>Research ethics committees</w:t>
      </w:r>
    </w:p>
    <w:p w:rsidR="00A854F0" w:rsidRDefault="00103C9E">
      <w:pPr>
        <w:pStyle w:val="ListParagraph"/>
        <w:numPr>
          <w:ilvl w:val="0"/>
          <w:numId w:val="2"/>
        </w:numPr>
        <w:spacing w:before="60" w:after="60"/>
      </w:pPr>
      <w:r>
        <w:t>Policy-makers and legislators</w:t>
      </w:r>
    </w:p>
    <w:p w:rsidR="00A854F0" w:rsidRDefault="00103C9E">
      <w:pPr>
        <w:pStyle w:val="ListParagraph"/>
        <w:numPr>
          <w:ilvl w:val="0"/>
          <w:numId w:val="2"/>
        </w:numPr>
        <w:spacing w:before="60" w:after="60"/>
      </w:pPr>
      <w:r>
        <w:t xml:space="preserve">Non-governmental and international </w:t>
      </w:r>
      <w:r w:rsidR="00CB727F">
        <w:t>organizations</w:t>
      </w:r>
      <w:r>
        <w:t xml:space="preserve"> operating in Pakistan</w:t>
      </w:r>
    </w:p>
    <w:p w:rsidR="00A854F0" w:rsidRDefault="00A854F0">
      <w:pPr>
        <w:spacing w:after="80"/>
      </w:pPr>
    </w:p>
    <w:p w:rsidR="00A854F0" w:rsidRDefault="00103C9E">
      <w:pPr>
        <w:spacing w:before="80" w:after="120"/>
        <w:jc w:val="both"/>
      </w:pPr>
      <w:r>
        <w:t>It addresses decisions regarding surveillance, resource allocation, individual liberty, healthcare worker obligations, research ethics, and communication. It does not replace existing law but supplements it with ethical reasoning.</w:t>
      </w:r>
    </w:p>
    <w:p w:rsidR="002078BC" w:rsidRDefault="002078BC">
      <w:r>
        <w:br w:type="page"/>
      </w:r>
    </w:p>
    <w:p w:rsidR="00A854F0" w:rsidRDefault="00103C9E">
      <w:pPr>
        <w:pStyle w:val="Heading1"/>
      </w:pPr>
      <w:r>
        <w:lastRenderedPageBreak/>
        <w:t>2.  Core Ethical Principles</w:t>
      </w:r>
    </w:p>
    <w:p w:rsidR="00A854F0" w:rsidRDefault="00A854F0">
      <w:pPr>
        <w:pBdr>
          <w:bottom w:val="single" w:sz="8" w:space="1" w:color="1A5C38"/>
        </w:pBdr>
        <w:spacing w:after="160"/>
      </w:pPr>
    </w:p>
    <w:p w:rsidR="00A854F0" w:rsidRDefault="00103C9E">
      <w:pPr>
        <w:spacing w:before="80" w:after="120"/>
        <w:jc w:val="both"/>
      </w:pPr>
      <w:r>
        <w:t>All outbreak response decisions must be grounded in the following eight principles. Where principles conflict, decision-makers must reason transparently, document their judgements, and subject them to review.</w:t>
      </w:r>
    </w:p>
    <w:p w:rsidR="00A854F0" w:rsidRDefault="00A854F0">
      <w:pPr>
        <w:spacing w:after="160"/>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tblPr>
      <w:tblGrid>
        <w:gridCol w:w="900"/>
        <w:gridCol w:w="2400"/>
        <w:gridCol w:w="6060"/>
      </w:tblGrid>
      <w:tr w:rsidR="00A854F0">
        <w:tc>
          <w:tcPr>
            <w:tcW w:w="900" w:type="dxa"/>
            <w:tcBorders>
              <w:top w:val="single" w:sz="1" w:space="0" w:color="AAAAAA"/>
              <w:left w:val="single" w:sz="1" w:space="0" w:color="AAAAAA"/>
              <w:bottom w:val="single" w:sz="1" w:space="0" w:color="AAAAAA"/>
              <w:right w:val="single" w:sz="1" w:space="0" w:color="AAAAAA"/>
            </w:tcBorders>
            <w:shd w:val="clear" w:color="auto" w:fill="1A5C38"/>
            <w:tcMar>
              <w:top w:w="80" w:type="dxa"/>
              <w:left w:w="160" w:type="dxa"/>
              <w:bottom w:w="80" w:type="dxa"/>
              <w:right w:w="120" w:type="dxa"/>
            </w:tcMar>
          </w:tcPr>
          <w:p w:rsidR="00A854F0" w:rsidRDefault="00103C9E">
            <w:r>
              <w:rPr>
                <w:b/>
                <w:bCs/>
                <w:color w:val="FFFFFF"/>
              </w:rPr>
              <w:t>#</w:t>
            </w:r>
          </w:p>
        </w:tc>
        <w:tc>
          <w:tcPr>
            <w:tcW w:w="2400" w:type="dxa"/>
            <w:tcBorders>
              <w:top w:val="single" w:sz="1" w:space="0" w:color="AAAAAA"/>
              <w:left w:val="single" w:sz="1" w:space="0" w:color="AAAAAA"/>
              <w:bottom w:val="single" w:sz="1" w:space="0" w:color="AAAAAA"/>
              <w:right w:val="single" w:sz="1" w:space="0" w:color="AAAAAA"/>
            </w:tcBorders>
            <w:shd w:val="clear" w:color="auto" w:fill="1A5C38"/>
            <w:tcMar>
              <w:top w:w="80" w:type="dxa"/>
              <w:left w:w="160" w:type="dxa"/>
              <w:bottom w:w="80" w:type="dxa"/>
              <w:right w:w="120" w:type="dxa"/>
            </w:tcMar>
          </w:tcPr>
          <w:p w:rsidR="00A854F0" w:rsidRDefault="00103C9E">
            <w:r>
              <w:rPr>
                <w:b/>
                <w:bCs/>
                <w:color w:val="FFFFFF"/>
              </w:rPr>
              <w:t>Principle</w:t>
            </w:r>
          </w:p>
        </w:tc>
        <w:tc>
          <w:tcPr>
            <w:tcW w:w="6060" w:type="dxa"/>
            <w:tcBorders>
              <w:top w:val="single" w:sz="1" w:space="0" w:color="AAAAAA"/>
              <w:left w:val="single" w:sz="1" w:space="0" w:color="AAAAAA"/>
              <w:bottom w:val="single" w:sz="1" w:space="0" w:color="AAAAAA"/>
              <w:right w:val="single" w:sz="1" w:space="0" w:color="AAAAAA"/>
            </w:tcBorders>
            <w:shd w:val="clear" w:color="auto" w:fill="1A5C38"/>
            <w:tcMar>
              <w:top w:w="80" w:type="dxa"/>
              <w:left w:w="160" w:type="dxa"/>
              <w:bottom w:w="80" w:type="dxa"/>
              <w:right w:w="120" w:type="dxa"/>
            </w:tcMar>
          </w:tcPr>
          <w:p w:rsidR="00A854F0" w:rsidRDefault="00103C9E">
            <w:r>
              <w:rPr>
                <w:b/>
                <w:bCs/>
                <w:color w:val="FFFFFF"/>
              </w:rPr>
              <w:t>Application in Pakistan Context</w:t>
            </w:r>
          </w:p>
        </w:tc>
      </w:tr>
      <w:tr w:rsidR="00A854F0">
        <w:tc>
          <w:tcPr>
            <w:tcW w:w="900" w:type="dxa"/>
            <w:tcBorders>
              <w:top w:val="single" w:sz="1" w:space="0" w:color="AAAAAA"/>
              <w:left w:val="single" w:sz="1" w:space="0" w:color="AAAAAA"/>
              <w:bottom w:val="single" w:sz="1" w:space="0" w:color="AAAAAA"/>
              <w:right w:val="single" w:sz="1" w:space="0" w:color="AAAAAA"/>
            </w:tcBorders>
            <w:shd w:val="clear" w:color="auto" w:fill="D6E9DC"/>
            <w:tcMar>
              <w:top w:w="80" w:type="dxa"/>
              <w:left w:w="160" w:type="dxa"/>
              <w:bottom w:w="80" w:type="dxa"/>
              <w:right w:w="120" w:type="dxa"/>
            </w:tcMar>
          </w:tcPr>
          <w:p w:rsidR="00A854F0" w:rsidRDefault="00103C9E">
            <w:pPr>
              <w:jc w:val="center"/>
            </w:pPr>
            <w:r>
              <w:rPr>
                <w:b/>
                <w:bCs/>
                <w:color w:val="1A5C38"/>
              </w:rPr>
              <w:t>1</w:t>
            </w:r>
          </w:p>
        </w:tc>
        <w:tc>
          <w:tcPr>
            <w:tcW w:w="2400" w:type="dxa"/>
            <w:tcBorders>
              <w:top w:val="single" w:sz="1" w:space="0" w:color="AAAAAA"/>
              <w:left w:val="single" w:sz="1" w:space="0" w:color="AAAAAA"/>
              <w:bottom w:val="single" w:sz="1" w:space="0" w:color="AAAAAA"/>
              <w:right w:val="single" w:sz="1" w:space="0" w:color="AAAAAA"/>
            </w:tcBorders>
            <w:shd w:val="clear" w:color="auto" w:fill="D6E9DC"/>
            <w:tcMar>
              <w:top w:w="80" w:type="dxa"/>
              <w:left w:w="160" w:type="dxa"/>
              <w:bottom w:w="80" w:type="dxa"/>
              <w:right w:w="120" w:type="dxa"/>
            </w:tcMar>
          </w:tcPr>
          <w:p w:rsidR="00A854F0" w:rsidRDefault="00103C9E">
            <w:r>
              <w:rPr>
                <w:b/>
                <w:bCs/>
              </w:rPr>
              <w:t>Justice</w:t>
            </w:r>
          </w:p>
        </w:tc>
        <w:tc>
          <w:tcPr>
            <w:tcW w:w="6060" w:type="dxa"/>
            <w:tcBorders>
              <w:top w:val="single" w:sz="1" w:space="0" w:color="AAAAAA"/>
              <w:left w:val="single" w:sz="1" w:space="0" w:color="AAAAAA"/>
              <w:bottom w:val="single" w:sz="1" w:space="0" w:color="AAAAAA"/>
              <w:right w:val="single" w:sz="1" w:space="0" w:color="AAAAAA"/>
            </w:tcBorders>
            <w:shd w:val="clear" w:color="auto" w:fill="D6E9DC"/>
            <w:tcMar>
              <w:top w:w="80" w:type="dxa"/>
              <w:left w:w="160" w:type="dxa"/>
              <w:bottom w:w="80" w:type="dxa"/>
              <w:right w:w="120" w:type="dxa"/>
            </w:tcMar>
          </w:tcPr>
          <w:p w:rsidR="00A854F0" w:rsidRDefault="00103C9E">
            <w:r>
              <w:t>Fair allocation of scarce resources (vaccines, ICU beds, medicines) across provinces, districts, and socioeconomic groups without discrimination.</w:t>
            </w:r>
          </w:p>
        </w:tc>
      </w:tr>
      <w:tr w:rsidR="00A854F0">
        <w:tc>
          <w:tcPr>
            <w:tcW w:w="900" w:type="dxa"/>
            <w:tcBorders>
              <w:top w:val="single" w:sz="1" w:space="0" w:color="AAAAAA"/>
              <w:left w:val="single" w:sz="1" w:space="0" w:color="AAAAAA"/>
              <w:bottom w:val="single" w:sz="1" w:space="0" w:color="AAAAAA"/>
              <w:right w:val="single" w:sz="1" w:space="0" w:color="AAAAAA"/>
            </w:tcBorders>
            <w:shd w:val="clear" w:color="auto" w:fill="FFFFFF"/>
            <w:tcMar>
              <w:top w:w="80" w:type="dxa"/>
              <w:left w:w="160" w:type="dxa"/>
              <w:bottom w:w="80" w:type="dxa"/>
              <w:right w:w="120" w:type="dxa"/>
            </w:tcMar>
          </w:tcPr>
          <w:p w:rsidR="00A854F0" w:rsidRDefault="00103C9E">
            <w:pPr>
              <w:jc w:val="center"/>
            </w:pPr>
            <w:r>
              <w:rPr>
                <w:b/>
                <w:bCs/>
                <w:color w:val="1A5C38"/>
              </w:rPr>
              <w:t>2</w:t>
            </w:r>
          </w:p>
        </w:tc>
        <w:tc>
          <w:tcPr>
            <w:tcW w:w="2400" w:type="dxa"/>
            <w:tcBorders>
              <w:top w:val="single" w:sz="1" w:space="0" w:color="AAAAAA"/>
              <w:left w:val="single" w:sz="1" w:space="0" w:color="AAAAAA"/>
              <w:bottom w:val="single" w:sz="1" w:space="0" w:color="AAAAAA"/>
              <w:right w:val="single" w:sz="1" w:space="0" w:color="AAAAAA"/>
            </w:tcBorders>
            <w:shd w:val="clear" w:color="auto" w:fill="FFFFFF"/>
            <w:tcMar>
              <w:top w:w="80" w:type="dxa"/>
              <w:left w:w="160" w:type="dxa"/>
              <w:bottom w:w="80" w:type="dxa"/>
              <w:right w:w="120" w:type="dxa"/>
            </w:tcMar>
          </w:tcPr>
          <w:p w:rsidR="00A854F0" w:rsidRDefault="00103C9E">
            <w:r>
              <w:rPr>
                <w:b/>
                <w:bCs/>
              </w:rPr>
              <w:t>Beneficence</w:t>
            </w:r>
          </w:p>
        </w:tc>
        <w:tc>
          <w:tcPr>
            <w:tcW w:w="6060" w:type="dxa"/>
            <w:tcBorders>
              <w:top w:val="single" w:sz="1" w:space="0" w:color="AAAAAA"/>
              <w:left w:val="single" w:sz="1" w:space="0" w:color="AAAAAA"/>
              <w:bottom w:val="single" w:sz="1" w:space="0" w:color="AAAAAA"/>
              <w:right w:val="single" w:sz="1" w:space="0" w:color="AAAAAA"/>
            </w:tcBorders>
            <w:shd w:val="clear" w:color="auto" w:fill="FFFFFF"/>
            <w:tcMar>
              <w:top w:w="80" w:type="dxa"/>
              <w:left w:w="160" w:type="dxa"/>
              <w:bottom w:w="80" w:type="dxa"/>
              <w:right w:w="120" w:type="dxa"/>
            </w:tcMar>
          </w:tcPr>
          <w:p w:rsidR="00A854F0" w:rsidRDefault="00103C9E">
            <w:r>
              <w:t>All outbreak response measures must aim to protect and improve public health, anchored in the best available evidence.</w:t>
            </w:r>
          </w:p>
        </w:tc>
      </w:tr>
      <w:tr w:rsidR="00A854F0">
        <w:tc>
          <w:tcPr>
            <w:tcW w:w="900" w:type="dxa"/>
            <w:tcBorders>
              <w:top w:val="single" w:sz="1" w:space="0" w:color="AAAAAA"/>
              <w:left w:val="single" w:sz="1" w:space="0" w:color="AAAAAA"/>
              <w:bottom w:val="single" w:sz="1" w:space="0" w:color="AAAAAA"/>
              <w:right w:val="single" w:sz="1" w:space="0" w:color="AAAAAA"/>
            </w:tcBorders>
            <w:shd w:val="clear" w:color="auto" w:fill="D6E9DC"/>
            <w:tcMar>
              <w:top w:w="80" w:type="dxa"/>
              <w:left w:w="160" w:type="dxa"/>
              <w:bottom w:w="80" w:type="dxa"/>
              <w:right w:w="120" w:type="dxa"/>
            </w:tcMar>
          </w:tcPr>
          <w:p w:rsidR="00A854F0" w:rsidRDefault="00103C9E">
            <w:pPr>
              <w:jc w:val="center"/>
            </w:pPr>
            <w:r>
              <w:rPr>
                <w:b/>
                <w:bCs/>
                <w:color w:val="1A5C38"/>
              </w:rPr>
              <w:t>3</w:t>
            </w:r>
          </w:p>
        </w:tc>
        <w:tc>
          <w:tcPr>
            <w:tcW w:w="2400" w:type="dxa"/>
            <w:tcBorders>
              <w:top w:val="single" w:sz="1" w:space="0" w:color="AAAAAA"/>
              <w:left w:val="single" w:sz="1" w:space="0" w:color="AAAAAA"/>
              <w:bottom w:val="single" w:sz="1" w:space="0" w:color="AAAAAA"/>
              <w:right w:val="single" w:sz="1" w:space="0" w:color="AAAAAA"/>
            </w:tcBorders>
            <w:shd w:val="clear" w:color="auto" w:fill="D6E9DC"/>
            <w:tcMar>
              <w:top w:w="80" w:type="dxa"/>
              <w:left w:w="160" w:type="dxa"/>
              <w:bottom w:w="80" w:type="dxa"/>
              <w:right w:w="120" w:type="dxa"/>
            </w:tcMar>
          </w:tcPr>
          <w:p w:rsidR="00A854F0" w:rsidRDefault="00103C9E">
            <w:r>
              <w:rPr>
                <w:b/>
                <w:bCs/>
              </w:rPr>
              <w:t>Non-Maleficence</w:t>
            </w:r>
          </w:p>
        </w:tc>
        <w:tc>
          <w:tcPr>
            <w:tcW w:w="6060" w:type="dxa"/>
            <w:tcBorders>
              <w:top w:val="single" w:sz="1" w:space="0" w:color="AAAAAA"/>
              <w:left w:val="single" w:sz="1" w:space="0" w:color="AAAAAA"/>
              <w:bottom w:val="single" w:sz="1" w:space="0" w:color="AAAAAA"/>
              <w:right w:val="single" w:sz="1" w:space="0" w:color="AAAAAA"/>
            </w:tcBorders>
            <w:shd w:val="clear" w:color="auto" w:fill="D6E9DC"/>
            <w:tcMar>
              <w:top w:w="80" w:type="dxa"/>
              <w:left w:w="160" w:type="dxa"/>
              <w:bottom w:w="80" w:type="dxa"/>
              <w:right w:w="120" w:type="dxa"/>
            </w:tcMar>
          </w:tcPr>
          <w:p w:rsidR="00A854F0" w:rsidRDefault="00103C9E">
            <w:r>
              <w:t>Interventions must not cause unnecessary harm. Proportionality must be assessed before imposing restrictions on movement or commerce.</w:t>
            </w:r>
          </w:p>
        </w:tc>
      </w:tr>
      <w:tr w:rsidR="00A854F0">
        <w:tc>
          <w:tcPr>
            <w:tcW w:w="900" w:type="dxa"/>
            <w:tcBorders>
              <w:top w:val="single" w:sz="1" w:space="0" w:color="AAAAAA"/>
              <w:left w:val="single" w:sz="1" w:space="0" w:color="AAAAAA"/>
              <w:bottom w:val="single" w:sz="1" w:space="0" w:color="AAAAAA"/>
              <w:right w:val="single" w:sz="1" w:space="0" w:color="AAAAAA"/>
            </w:tcBorders>
            <w:shd w:val="clear" w:color="auto" w:fill="FFFFFF"/>
            <w:tcMar>
              <w:top w:w="80" w:type="dxa"/>
              <w:left w:w="160" w:type="dxa"/>
              <w:bottom w:w="80" w:type="dxa"/>
              <w:right w:w="120" w:type="dxa"/>
            </w:tcMar>
          </w:tcPr>
          <w:p w:rsidR="00A854F0" w:rsidRDefault="00103C9E">
            <w:pPr>
              <w:jc w:val="center"/>
            </w:pPr>
            <w:r>
              <w:rPr>
                <w:b/>
                <w:bCs/>
                <w:color w:val="1A5C38"/>
              </w:rPr>
              <w:t>4</w:t>
            </w:r>
          </w:p>
        </w:tc>
        <w:tc>
          <w:tcPr>
            <w:tcW w:w="2400" w:type="dxa"/>
            <w:tcBorders>
              <w:top w:val="single" w:sz="1" w:space="0" w:color="AAAAAA"/>
              <w:left w:val="single" w:sz="1" w:space="0" w:color="AAAAAA"/>
              <w:bottom w:val="single" w:sz="1" w:space="0" w:color="AAAAAA"/>
              <w:right w:val="single" w:sz="1" w:space="0" w:color="AAAAAA"/>
            </w:tcBorders>
            <w:shd w:val="clear" w:color="auto" w:fill="FFFFFF"/>
            <w:tcMar>
              <w:top w:w="80" w:type="dxa"/>
              <w:left w:w="160" w:type="dxa"/>
              <w:bottom w:w="80" w:type="dxa"/>
              <w:right w:w="120" w:type="dxa"/>
            </w:tcMar>
          </w:tcPr>
          <w:p w:rsidR="00A854F0" w:rsidRDefault="00103C9E">
            <w:r>
              <w:rPr>
                <w:b/>
                <w:bCs/>
              </w:rPr>
              <w:t>Respect for Autonomy</w:t>
            </w:r>
          </w:p>
        </w:tc>
        <w:tc>
          <w:tcPr>
            <w:tcW w:w="6060" w:type="dxa"/>
            <w:tcBorders>
              <w:top w:val="single" w:sz="1" w:space="0" w:color="AAAAAA"/>
              <w:left w:val="single" w:sz="1" w:space="0" w:color="AAAAAA"/>
              <w:bottom w:val="single" w:sz="1" w:space="0" w:color="AAAAAA"/>
              <w:right w:val="single" w:sz="1" w:space="0" w:color="AAAAAA"/>
            </w:tcBorders>
            <w:shd w:val="clear" w:color="auto" w:fill="FFFFFF"/>
            <w:tcMar>
              <w:top w:w="80" w:type="dxa"/>
              <w:left w:w="160" w:type="dxa"/>
              <w:bottom w:w="80" w:type="dxa"/>
              <w:right w:w="120" w:type="dxa"/>
            </w:tcMar>
          </w:tcPr>
          <w:p w:rsidR="00A854F0" w:rsidRDefault="00103C9E">
            <w:r>
              <w:t>Individuals retain the right to informed decision-making. Mandatory measures require clear legal authority and must be time-limited.</w:t>
            </w:r>
          </w:p>
        </w:tc>
      </w:tr>
      <w:tr w:rsidR="00A854F0">
        <w:tc>
          <w:tcPr>
            <w:tcW w:w="900" w:type="dxa"/>
            <w:tcBorders>
              <w:top w:val="single" w:sz="1" w:space="0" w:color="AAAAAA"/>
              <w:left w:val="single" w:sz="1" w:space="0" w:color="AAAAAA"/>
              <w:bottom w:val="single" w:sz="1" w:space="0" w:color="AAAAAA"/>
              <w:right w:val="single" w:sz="1" w:space="0" w:color="AAAAAA"/>
            </w:tcBorders>
            <w:shd w:val="clear" w:color="auto" w:fill="D6E9DC"/>
            <w:tcMar>
              <w:top w:w="80" w:type="dxa"/>
              <w:left w:w="160" w:type="dxa"/>
              <w:bottom w:w="80" w:type="dxa"/>
              <w:right w:w="120" w:type="dxa"/>
            </w:tcMar>
          </w:tcPr>
          <w:p w:rsidR="00A854F0" w:rsidRDefault="00103C9E">
            <w:pPr>
              <w:jc w:val="center"/>
            </w:pPr>
            <w:r>
              <w:rPr>
                <w:b/>
                <w:bCs/>
                <w:color w:val="1A5C38"/>
              </w:rPr>
              <w:t>5</w:t>
            </w:r>
          </w:p>
        </w:tc>
        <w:tc>
          <w:tcPr>
            <w:tcW w:w="2400" w:type="dxa"/>
            <w:tcBorders>
              <w:top w:val="single" w:sz="1" w:space="0" w:color="AAAAAA"/>
              <w:left w:val="single" w:sz="1" w:space="0" w:color="AAAAAA"/>
              <w:bottom w:val="single" w:sz="1" w:space="0" w:color="AAAAAA"/>
              <w:right w:val="single" w:sz="1" w:space="0" w:color="AAAAAA"/>
            </w:tcBorders>
            <w:shd w:val="clear" w:color="auto" w:fill="D6E9DC"/>
            <w:tcMar>
              <w:top w:w="80" w:type="dxa"/>
              <w:left w:w="160" w:type="dxa"/>
              <w:bottom w:w="80" w:type="dxa"/>
              <w:right w:w="120" w:type="dxa"/>
            </w:tcMar>
          </w:tcPr>
          <w:p w:rsidR="00A854F0" w:rsidRDefault="00103C9E">
            <w:r>
              <w:rPr>
                <w:b/>
                <w:bCs/>
              </w:rPr>
              <w:t>Solidarity</w:t>
            </w:r>
          </w:p>
        </w:tc>
        <w:tc>
          <w:tcPr>
            <w:tcW w:w="6060" w:type="dxa"/>
            <w:tcBorders>
              <w:top w:val="single" w:sz="1" w:space="0" w:color="AAAAAA"/>
              <w:left w:val="single" w:sz="1" w:space="0" w:color="AAAAAA"/>
              <w:bottom w:val="single" w:sz="1" w:space="0" w:color="AAAAAA"/>
              <w:right w:val="single" w:sz="1" w:space="0" w:color="AAAAAA"/>
            </w:tcBorders>
            <w:shd w:val="clear" w:color="auto" w:fill="D6E9DC"/>
            <w:tcMar>
              <w:top w:w="80" w:type="dxa"/>
              <w:left w:w="160" w:type="dxa"/>
              <w:bottom w:w="80" w:type="dxa"/>
              <w:right w:w="120" w:type="dxa"/>
            </w:tcMar>
          </w:tcPr>
          <w:p w:rsidR="00A854F0" w:rsidRDefault="00103C9E">
            <w:r>
              <w:t>Society shares collective responsibility. Burden-sharing across federal and provincial governments, private sector, and communities is essential.</w:t>
            </w:r>
          </w:p>
        </w:tc>
      </w:tr>
      <w:tr w:rsidR="00A854F0">
        <w:tc>
          <w:tcPr>
            <w:tcW w:w="900" w:type="dxa"/>
            <w:tcBorders>
              <w:top w:val="single" w:sz="1" w:space="0" w:color="AAAAAA"/>
              <w:left w:val="single" w:sz="1" w:space="0" w:color="AAAAAA"/>
              <w:bottom w:val="single" w:sz="1" w:space="0" w:color="AAAAAA"/>
              <w:right w:val="single" w:sz="1" w:space="0" w:color="AAAAAA"/>
            </w:tcBorders>
            <w:shd w:val="clear" w:color="auto" w:fill="FFFFFF"/>
            <w:tcMar>
              <w:top w:w="80" w:type="dxa"/>
              <w:left w:w="160" w:type="dxa"/>
              <w:bottom w:w="80" w:type="dxa"/>
              <w:right w:w="120" w:type="dxa"/>
            </w:tcMar>
          </w:tcPr>
          <w:p w:rsidR="00A854F0" w:rsidRDefault="00103C9E">
            <w:pPr>
              <w:jc w:val="center"/>
            </w:pPr>
            <w:r>
              <w:rPr>
                <w:b/>
                <w:bCs/>
                <w:color w:val="1A5C38"/>
              </w:rPr>
              <w:t>6</w:t>
            </w:r>
          </w:p>
        </w:tc>
        <w:tc>
          <w:tcPr>
            <w:tcW w:w="2400" w:type="dxa"/>
            <w:tcBorders>
              <w:top w:val="single" w:sz="1" w:space="0" w:color="AAAAAA"/>
              <w:left w:val="single" w:sz="1" w:space="0" w:color="AAAAAA"/>
              <w:bottom w:val="single" w:sz="1" w:space="0" w:color="AAAAAA"/>
              <w:right w:val="single" w:sz="1" w:space="0" w:color="AAAAAA"/>
            </w:tcBorders>
            <w:shd w:val="clear" w:color="auto" w:fill="FFFFFF"/>
            <w:tcMar>
              <w:top w:w="80" w:type="dxa"/>
              <w:left w:w="160" w:type="dxa"/>
              <w:bottom w:w="80" w:type="dxa"/>
              <w:right w:w="120" w:type="dxa"/>
            </w:tcMar>
          </w:tcPr>
          <w:p w:rsidR="00A854F0" w:rsidRDefault="00103C9E">
            <w:r>
              <w:rPr>
                <w:b/>
                <w:bCs/>
              </w:rPr>
              <w:t>Transparency</w:t>
            </w:r>
          </w:p>
        </w:tc>
        <w:tc>
          <w:tcPr>
            <w:tcW w:w="6060" w:type="dxa"/>
            <w:tcBorders>
              <w:top w:val="single" w:sz="1" w:space="0" w:color="AAAAAA"/>
              <w:left w:val="single" w:sz="1" w:space="0" w:color="AAAAAA"/>
              <w:bottom w:val="single" w:sz="1" w:space="0" w:color="AAAAAA"/>
              <w:right w:val="single" w:sz="1" w:space="0" w:color="AAAAAA"/>
            </w:tcBorders>
            <w:shd w:val="clear" w:color="auto" w:fill="FFFFFF"/>
            <w:tcMar>
              <w:top w:w="80" w:type="dxa"/>
              <w:left w:w="160" w:type="dxa"/>
              <w:bottom w:w="80" w:type="dxa"/>
              <w:right w:w="120" w:type="dxa"/>
            </w:tcMar>
          </w:tcPr>
          <w:p w:rsidR="00A854F0" w:rsidRDefault="00103C9E">
            <w:r>
              <w:t>Governments and health authorities must communicate openly, including uncertainty and limitations of available data.</w:t>
            </w:r>
          </w:p>
        </w:tc>
      </w:tr>
      <w:tr w:rsidR="00A854F0">
        <w:tc>
          <w:tcPr>
            <w:tcW w:w="900" w:type="dxa"/>
            <w:tcBorders>
              <w:top w:val="single" w:sz="1" w:space="0" w:color="AAAAAA"/>
              <w:left w:val="single" w:sz="1" w:space="0" w:color="AAAAAA"/>
              <w:bottom w:val="single" w:sz="1" w:space="0" w:color="AAAAAA"/>
              <w:right w:val="single" w:sz="1" w:space="0" w:color="AAAAAA"/>
            </w:tcBorders>
            <w:shd w:val="clear" w:color="auto" w:fill="D6E9DC"/>
            <w:tcMar>
              <w:top w:w="80" w:type="dxa"/>
              <w:left w:w="160" w:type="dxa"/>
              <w:bottom w:w="80" w:type="dxa"/>
              <w:right w:w="120" w:type="dxa"/>
            </w:tcMar>
          </w:tcPr>
          <w:p w:rsidR="00A854F0" w:rsidRDefault="00103C9E">
            <w:pPr>
              <w:jc w:val="center"/>
            </w:pPr>
            <w:r>
              <w:rPr>
                <w:b/>
                <w:bCs/>
                <w:color w:val="1A5C38"/>
              </w:rPr>
              <w:t>7</w:t>
            </w:r>
          </w:p>
        </w:tc>
        <w:tc>
          <w:tcPr>
            <w:tcW w:w="2400" w:type="dxa"/>
            <w:tcBorders>
              <w:top w:val="single" w:sz="1" w:space="0" w:color="AAAAAA"/>
              <w:left w:val="single" w:sz="1" w:space="0" w:color="AAAAAA"/>
              <w:bottom w:val="single" w:sz="1" w:space="0" w:color="AAAAAA"/>
              <w:right w:val="single" w:sz="1" w:space="0" w:color="AAAAAA"/>
            </w:tcBorders>
            <w:shd w:val="clear" w:color="auto" w:fill="D6E9DC"/>
            <w:tcMar>
              <w:top w:w="80" w:type="dxa"/>
              <w:left w:w="160" w:type="dxa"/>
              <w:bottom w:w="80" w:type="dxa"/>
              <w:right w:w="120" w:type="dxa"/>
            </w:tcMar>
          </w:tcPr>
          <w:p w:rsidR="00A854F0" w:rsidRDefault="00103C9E">
            <w:r>
              <w:rPr>
                <w:b/>
                <w:bCs/>
              </w:rPr>
              <w:t>Proportionality</w:t>
            </w:r>
          </w:p>
        </w:tc>
        <w:tc>
          <w:tcPr>
            <w:tcW w:w="6060" w:type="dxa"/>
            <w:tcBorders>
              <w:top w:val="single" w:sz="1" w:space="0" w:color="AAAAAA"/>
              <w:left w:val="single" w:sz="1" w:space="0" w:color="AAAAAA"/>
              <w:bottom w:val="single" w:sz="1" w:space="0" w:color="AAAAAA"/>
              <w:right w:val="single" w:sz="1" w:space="0" w:color="AAAAAA"/>
            </w:tcBorders>
            <w:shd w:val="clear" w:color="auto" w:fill="D6E9DC"/>
            <w:tcMar>
              <w:top w:w="80" w:type="dxa"/>
              <w:left w:w="160" w:type="dxa"/>
              <w:bottom w:w="80" w:type="dxa"/>
              <w:right w:w="120" w:type="dxa"/>
            </w:tcMar>
          </w:tcPr>
          <w:p w:rsidR="00A854F0" w:rsidRDefault="00103C9E">
            <w:r>
              <w:t>Restrictions on rights (quarantine, curfew, mandatory treatment) must be proportionate to the demonstrated public health threat.</w:t>
            </w:r>
          </w:p>
        </w:tc>
      </w:tr>
      <w:tr w:rsidR="00A854F0">
        <w:tc>
          <w:tcPr>
            <w:tcW w:w="900" w:type="dxa"/>
            <w:tcBorders>
              <w:top w:val="single" w:sz="1" w:space="0" w:color="AAAAAA"/>
              <w:left w:val="single" w:sz="1" w:space="0" w:color="AAAAAA"/>
              <w:bottom w:val="single" w:sz="1" w:space="0" w:color="AAAAAA"/>
              <w:right w:val="single" w:sz="1" w:space="0" w:color="AAAAAA"/>
            </w:tcBorders>
            <w:shd w:val="clear" w:color="auto" w:fill="FFFFFF"/>
            <w:tcMar>
              <w:top w:w="80" w:type="dxa"/>
              <w:left w:w="160" w:type="dxa"/>
              <w:bottom w:w="80" w:type="dxa"/>
              <w:right w:w="120" w:type="dxa"/>
            </w:tcMar>
          </w:tcPr>
          <w:p w:rsidR="00A854F0" w:rsidRDefault="00103C9E">
            <w:pPr>
              <w:jc w:val="center"/>
            </w:pPr>
            <w:r>
              <w:rPr>
                <w:b/>
                <w:bCs/>
                <w:color w:val="1A5C38"/>
              </w:rPr>
              <w:t>8</w:t>
            </w:r>
          </w:p>
        </w:tc>
        <w:tc>
          <w:tcPr>
            <w:tcW w:w="2400" w:type="dxa"/>
            <w:tcBorders>
              <w:top w:val="single" w:sz="1" w:space="0" w:color="AAAAAA"/>
              <w:left w:val="single" w:sz="1" w:space="0" w:color="AAAAAA"/>
              <w:bottom w:val="single" w:sz="1" w:space="0" w:color="AAAAAA"/>
              <w:right w:val="single" w:sz="1" w:space="0" w:color="AAAAAA"/>
            </w:tcBorders>
            <w:shd w:val="clear" w:color="auto" w:fill="FFFFFF"/>
            <w:tcMar>
              <w:top w:w="80" w:type="dxa"/>
              <w:left w:w="160" w:type="dxa"/>
              <w:bottom w:w="80" w:type="dxa"/>
              <w:right w:w="120" w:type="dxa"/>
            </w:tcMar>
          </w:tcPr>
          <w:p w:rsidR="00A854F0" w:rsidRDefault="00103C9E">
            <w:r>
              <w:rPr>
                <w:b/>
                <w:bCs/>
              </w:rPr>
              <w:t>Protection of Vulnerable Populations</w:t>
            </w:r>
          </w:p>
        </w:tc>
        <w:tc>
          <w:tcPr>
            <w:tcW w:w="6060" w:type="dxa"/>
            <w:tcBorders>
              <w:top w:val="single" w:sz="1" w:space="0" w:color="AAAAAA"/>
              <w:left w:val="single" w:sz="1" w:space="0" w:color="AAAAAA"/>
              <w:bottom w:val="single" w:sz="1" w:space="0" w:color="AAAAAA"/>
              <w:right w:val="single" w:sz="1" w:space="0" w:color="AAAAAA"/>
            </w:tcBorders>
            <w:shd w:val="clear" w:color="auto" w:fill="FFFFFF"/>
            <w:tcMar>
              <w:top w:w="80" w:type="dxa"/>
              <w:left w:w="160" w:type="dxa"/>
              <w:bottom w:w="80" w:type="dxa"/>
              <w:right w:w="120" w:type="dxa"/>
            </w:tcMar>
          </w:tcPr>
          <w:p w:rsidR="00A854F0" w:rsidRDefault="00103C9E">
            <w:r>
              <w:t>Measures must affirmatively protect groups at heightened risk: women, children, the elderly, persons with disabilities, and those in poverty.</w:t>
            </w:r>
          </w:p>
        </w:tc>
      </w:tr>
    </w:tbl>
    <w:p w:rsidR="002078BC" w:rsidRDefault="002078BC">
      <w:pPr>
        <w:spacing w:after="160"/>
      </w:pPr>
    </w:p>
    <w:p w:rsidR="002078BC" w:rsidRDefault="002078BC">
      <w:r>
        <w:br w:type="page"/>
      </w:r>
    </w:p>
    <w:p w:rsidR="00A854F0" w:rsidRDefault="00103C9E">
      <w:pPr>
        <w:pStyle w:val="Heading1"/>
      </w:pPr>
      <w:r>
        <w:lastRenderedPageBreak/>
        <w:t>3.  Surveillance, Data Collection, and Information Sharing</w:t>
      </w:r>
    </w:p>
    <w:p w:rsidR="00A854F0" w:rsidRDefault="00A854F0">
      <w:pPr>
        <w:pBdr>
          <w:bottom w:val="single" w:sz="8" w:space="1" w:color="1A5C38"/>
        </w:pBdr>
        <w:spacing w:after="160"/>
      </w:pPr>
    </w:p>
    <w:p w:rsidR="00A854F0" w:rsidRDefault="002078BC">
      <w:pPr>
        <w:pStyle w:val="Heading2"/>
      </w:pPr>
      <w:r>
        <w:t>3.1 Obligation</w:t>
      </w:r>
      <w:r w:rsidR="00103C9E">
        <w:t xml:space="preserve"> to Report</w:t>
      </w:r>
    </w:p>
    <w:p w:rsidR="00A854F0" w:rsidRDefault="00103C9E">
      <w:pPr>
        <w:spacing w:before="80" w:after="120"/>
        <w:jc w:val="both"/>
      </w:pPr>
      <w:r>
        <w:t>Timely and accurate disease reporting is both a legal obligation under the Pakistan National Regulations on Disease Notification and an ethical duty</w:t>
      </w:r>
      <w:r w:rsidR="002078BC">
        <w:t xml:space="preserve">. Concealment of outbreak </w:t>
      </w:r>
      <w:r w:rsidR="003B77BE">
        <w:t>data at</w:t>
      </w:r>
      <w:r>
        <w:t xml:space="preserve"> institutional or governmental level — constitutes a serious breach of public trust and endangers lives.</w:t>
      </w:r>
    </w:p>
    <w:p w:rsidR="00A854F0" w:rsidRDefault="002078BC">
      <w:pPr>
        <w:pStyle w:val="Heading2"/>
      </w:pPr>
      <w:r>
        <w:t>3.2 Privacy</w:t>
      </w:r>
      <w:r w:rsidR="00103C9E">
        <w:t xml:space="preserve"> and Data Protection</w:t>
      </w:r>
    </w:p>
    <w:p w:rsidR="00A854F0" w:rsidRDefault="00103C9E">
      <w:pPr>
        <w:spacing w:before="80" w:after="120"/>
        <w:jc w:val="both"/>
      </w:pPr>
      <w:r>
        <w:t>Personal health data collected during surveillance must be treated with strict confidentiality. Identifiable data should be used only to the extent necessary for outbreak management. Aggregated, de-identified data should be the default for sharing with the public and media.</w:t>
      </w:r>
    </w:p>
    <w:p w:rsidR="00A854F0" w:rsidRDefault="002078BC">
      <w:pPr>
        <w:pStyle w:val="Heading2"/>
      </w:pPr>
      <w:r>
        <w:t>3.3 International</w:t>
      </w:r>
      <w:r w:rsidR="00103C9E">
        <w:t xml:space="preserve"> Information Sharing</w:t>
      </w:r>
    </w:p>
    <w:p w:rsidR="00A854F0" w:rsidRDefault="00103C9E">
      <w:pPr>
        <w:spacing w:before="80" w:after="120"/>
        <w:jc w:val="both"/>
      </w:pPr>
      <w:r>
        <w:t>Pakistan has obligations under the International Health Regulations (IHR 2005) to notify WHO of public health events of potential international concern promptly. These obligations should not be deferred due to domestic political or economic considerations.</w:t>
      </w:r>
    </w:p>
    <w:p w:rsidR="00A854F0" w:rsidRDefault="00103C9E">
      <w:pPr>
        <w:pStyle w:val="Heading1"/>
      </w:pPr>
      <w:r>
        <w:t>4.  Balancing Individual Rights and Public Health</w:t>
      </w:r>
    </w:p>
    <w:p w:rsidR="00A854F0" w:rsidRDefault="00A854F0">
      <w:pPr>
        <w:pBdr>
          <w:bottom w:val="single" w:sz="8" w:space="1" w:color="1A5C38"/>
        </w:pBdr>
        <w:spacing w:after="160"/>
      </w:pPr>
    </w:p>
    <w:p w:rsidR="00A854F0" w:rsidRDefault="002078BC">
      <w:pPr>
        <w:pStyle w:val="Heading2"/>
      </w:pPr>
      <w:r>
        <w:t>4.1 Justification</w:t>
      </w:r>
      <w:r w:rsidR="00103C9E">
        <w:t xml:space="preserve"> for Restrictions</w:t>
      </w:r>
    </w:p>
    <w:p w:rsidR="00A854F0" w:rsidRDefault="00103C9E">
      <w:pPr>
        <w:spacing w:before="80" w:after="120"/>
        <w:jc w:val="both"/>
      </w:pPr>
      <w:r>
        <w:t xml:space="preserve">Restrictions on individual liberty — quarantine, isolation, </w:t>
      </w:r>
      <w:r w:rsidR="002078BC">
        <w:t xml:space="preserve">and movement controls, mandatory testing </w:t>
      </w:r>
      <w:r>
        <w:t>are ethically justified only when:</w:t>
      </w:r>
    </w:p>
    <w:p w:rsidR="00A854F0" w:rsidRDefault="00103C9E">
      <w:pPr>
        <w:pStyle w:val="ListParagraph"/>
        <w:numPr>
          <w:ilvl w:val="0"/>
          <w:numId w:val="2"/>
        </w:numPr>
        <w:spacing w:before="60" w:after="60"/>
      </w:pPr>
      <w:r>
        <w:t>There is a credible and significant risk of disease transmission;</w:t>
      </w:r>
    </w:p>
    <w:p w:rsidR="00A854F0" w:rsidRDefault="00103C9E">
      <w:pPr>
        <w:pStyle w:val="ListParagraph"/>
        <w:numPr>
          <w:ilvl w:val="0"/>
          <w:numId w:val="2"/>
        </w:numPr>
        <w:spacing w:before="60" w:after="60"/>
      </w:pPr>
      <w:r>
        <w:t>The restriction is the least intrusive measure capable of achieving the public health goal;</w:t>
      </w:r>
    </w:p>
    <w:p w:rsidR="00A854F0" w:rsidRDefault="00103C9E">
      <w:pPr>
        <w:pStyle w:val="ListParagraph"/>
        <w:numPr>
          <w:ilvl w:val="0"/>
          <w:numId w:val="2"/>
        </w:numPr>
        <w:spacing w:before="60" w:after="60"/>
      </w:pPr>
      <w:r>
        <w:t>The measure is time-bound and subject to regular review;</w:t>
      </w:r>
    </w:p>
    <w:p w:rsidR="00A854F0" w:rsidRDefault="00103C9E">
      <w:pPr>
        <w:pStyle w:val="ListParagraph"/>
        <w:numPr>
          <w:ilvl w:val="0"/>
          <w:numId w:val="2"/>
        </w:numPr>
        <w:spacing w:before="60" w:after="60"/>
      </w:pPr>
      <w:r>
        <w:t>Affected persons receive adequate support, including food, shelter, income compensation, and medical care.</w:t>
      </w:r>
    </w:p>
    <w:p w:rsidR="00A854F0" w:rsidRDefault="002078BC">
      <w:pPr>
        <w:pStyle w:val="Heading2"/>
      </w:pPr>
      <w:r>
        <w:t>4.2 Due</w:t>
      </w:r>
      <w:r w:rsidR="00103C9E">
        <w:t xml:space="preserve"> Process</w:t>
      </w:r>
    </w:p>
    <w:p w:rsidR="00A854F0" w:rsidRDefault="00103C9E">
      <w:pPr>
        <w:spacing w:before="80" w:after="120"/>
        <w:jc w:val="both"/>
      </w:pPr>
      <w:r>
        <w:t>Persons subject to compulsory public health measures have the right to: receive written notification of the reason and duration; access legal counsel; challenge the order before a competent authority; and receive care and support throughout.</w:t>
      </w:r>
    </w:p>
    <w:p w:rsidR="00A854F0" w:rsidRDefault="002078BC">
      <w:pPr>
        <w:pStyle w:val="Heading2"/>
      </w:pPr>
      <w:r>
        <w:t>4.3 Cultural</w:t>
      </w:r>
      <w:r w:rsidR="00103C9E">
        <w:t xml:space="preserve"> and Religious Considerations</w:t>
      </w:r>
    </w:p>
    <w:p w:rsidR="00A854F0" w:rsidRDefault="00103C9E">
      <w:pPr>
        <w:spacing w:before="80" w:after="120"/>
        <w:jc w:val="both"/>
      </w:pPr>
      <w:r>
        <w:t>Decisions affecting burial practices, gender-segregated care, fasting periods, or congregational worship must be made with sensitivity and in consultation with religious scholars and community leaders. Blanket prohibitions without community dialogue risk eroding trust and compliance.</w:t>
      </w:r>
    </w:p>
    <w:p w:rsidR="002078BC" w:rsidRDefault="002078BC">
      <w:r>
        <w:br w:type="page"/>
      </w:r>
    </w:p>
    <w:p w:rsidR="00A854F0" w:rsidRDefault="00103C9E">
      <w:pPr>
        <w:pStyle w:val="Heading1"/>
      </w:pPr>
      <w:r>
        <w:lastRenderedPageBreak/>
        <w:t>5.  Allocation of Scarce Resources</w:t>
      </w:r>
    </w:p>
    <w:p w:rsidR="00A854F0" w:rsidRDefault="00A854F0">
      <w:pPr>
        <w:pBdr>
          <w:bottom w:val="single" w:sz="8" w:space="1" w:color="1A5C38"/>
        </w:pBdr>
        <w:spacing w:after="160"/>
      </w:pPr>
    </w:p>
    <w:p w:rsidR="00A854F0" w:rsidRDefault="002078BC">
      <w:pPr>
        <w:pStyle w:val="Heading2"/>
      </w:pPr>
      <w:r>
        <w:t>5.1 Guiding</w:t>
      </w:r>
      <w:r w:rsidR="00103C9E">
        <w:t xml:space="preserve"> Allocation Criteria</w:t>
      </w:r>
    </w:p>
    <w:p w:rsidR="00A854F0" w:rsidRDefault="00103C9E">
      <w:pPr>
        <w:spacing w:before="80" w:after="120"/>
        <w:jc w:val="both"/>
      </w:pPr>
      <w:r>
        <w:t>When demand exceeds supply — for vaccines, medications, ventilators, or hospital beds — allocation criteria must be transparent, pre-established, and ethically defensible. Acceptable criteria include:</w:t>
      </w:r>
    </w:p>
    <w:p w:rsidR="00A854F0" w:rsidRDefault="00103C9E">
      <w:pPr>
        <w:pStyle w:val="ListParagraph"/>
        <w:numPr>
          <w:ilvl w:val="0"/>
          <w:numId w:val="2"/>
        </w:numPr>
        <w:spacing w:before="60" w:after="60"/>
      </w:pPr>
      <w:r>
        <w:t>Medical need and likelihood of benefit;</w:t>
      </w:r>
    </w:p>
    <w:p w:rsidR="00A854F0" w:rsidRDefault="00103C9E">
      <w:pPr>
        <w:pStyle w:val="ListParagraph"/>
        <w:numPr>
          <w:ilvl w:val="0"/>
          <w:numId w:val="2"/>
        </w:numPr>
        <w:spacing w:before="60" w:after="60"/>
      </w:pPr>
      <w:r>
        <w:t>Reciprocity (priority for healthcare workers who bear elevated occupational risk);</w:t>
      </w:r>
    </w:p>
    <w:p w:rsidR="00A854F0" w:rsidRDefault="00103C9E">
      <w:pPr>
        <w:pStyle w:val="ListParagraph"/>
        <w:numPr>
          <w:ilvl w:val="0"/>
          <w:numId w:val="2"/>
        </w:numPr>
        <w:spacing w:before="60" w:after="60"/>
      </w:pPr>
      <w:r>
        <w:t>Vulnerability (priority for groups at heightened biological risk, e.g. the elderly and immunocompromised);</w:t>
      </w:r>
    </w:p>
    <w:p w:rsidR="00A854F0" w:rsidRDefault="00103C9E">
      <w:pPr>
        <w:pStyle w:val="ListParagraph"/>
        <w:numPr>
          <w:ilvl w:val="0"/>
          <w:numId w:val="2"/>
        </w:numPr>
        <w:spacing w:before="60" w:after="60"/>
      </w:pPr>
      <w:r>
        <w:t>Equal chance through lottery when clinical criteria are equivalent.</w:t>
      </w:r>
    </w:p>
    <w:p w:rsidR="00A854F0" w:rsidRDefault="002078BC">
      <w:pPr>
        <w:pStyle w:val="Heading2"/>
      </w:pPr>
      <w:r>
        <w:t>5.2 Prohibited</w:t>
      </w:r>
      <w:r w:rsidR="00103C9E">
        <w:t xml:space="preserve"> Criteria</w:t>
      </w:r>
    </w:p>
    <w:p w:rsidR="00A854F0" w:rsidRDefault="00103C9E">
      <w:pPr>
        <w:spacing w:before="80" w:after="120"/>
        <w:jc w:val="both"/>
      </w:pPr>
      <w:r>
        <w:t xml:space="preserve">Allocation must never be based on social status, wealth, political affiliation, ethnicity, gender, religion, geographic location, or ability to pay. Corruption or </w:t>
      </w:r>
      <w:r w:rsidR="002078BC">
        <w:t>favoritism</w:t>
      </w:r>
      <w:r>
        <w:t xml:space="preserve"> in resource distribution constitutes both an ethical and criminal violation.</w:t>
      </w:r>
    </w:p>
    <w:p w:rsidR="00A854F0" w:rsidRDefault="002078BC">
      <w:pPr>
        <w:pStyle w:val="Heading2"/>
      </w:pPr>
      <w:r>
        <w:t>5.3 Provincial</w:t>
      </w:r>
      <w:r w:rsidR="00103C9E">
        <w:t xml:space="preserve"> Equity</w:t>
      </w:r>
    </w:p>
    <w:p w:rsidR="00A854F0" w:rsidRDefault="00103C9E">
      <w:pPr>
        <w:spacing w:before="80" w:after="120"/>
        <w:jc w:val="both"/>
      </w:pPr>
      <w:r>
        <w:t xml:space="preserve">The federal government must ensure that resource distribution does not disproportionately </w:t>
      </w:r>
      <w:r w:rsidR="002078BC">
        <w:t>favor</w:t>
      </w:r>
      <w:r>
        <w:t xml:space="preserve"> urban </w:t>
      </w:r>
      <w:r w:rsidR="002078BC">
        <w:t>centers</w:t>
      </w:r>
      <w:r>
        <w:t xml:space="preserve"> or wealthier provinces. Khyber Pakhtunkhwa, </w:t>
      </w:r>
      <w:r w:rsidR="002078BC">
        <w:t>Baluchistan</w:t>
      </w:r>
      <w:r>
        <w:t>, rural Sindh, and Azad Jammu &amp; Kashmir must receive equitable consideration in national allocation plans.</w:t>
      </w:r>
    </w:p>
    <w:p w:rsidR="00A854F0" w:rsidRDefault="002078BC">
      <w:pPr>
        <w:pStyle w:val="Heading1"/>
      </w:pPr>
      <w:r>
        <w:t>6.  Research and Innovation during o</w:t>
      </w:r>
      <w:r w:rsidR="00103C9E">
        <w:t>utbreaks</w:t>
      </w:r>
    </w:p>
    <w:p w:rsidR="00A854F0" w:rsidRDefault="00A854F0">
      <w:pPr>
        <w:pBdr>
          <w:bottom w:val="single" w:sz="8" w:space="1" w:color="1A5C38"/>
        </w:pBdr>
        <w:spacing w:after="160"/>
      </w:pPr>
    </w:p>
    <w:p w:rsidR="00A854F0" w:rsidRDefault="002078BC">
      <w:pPr>
        <w:pStyle w:val="Heading2"/>
      </w:pPr>
      <w:r>
        <w:t>6.1 Ethics</w:t>
      </w:r>
      <w:r w:rsidR="00103C9E">
        <w:t xml:space="preserve"> Review Obligations</w:t>
      </w:r>
    </w:p>
    <w:p w:rsidR="00A854F0" w:rsidRDefault="00103C9E">
      <w:pPr>
        <w:spacing w:before="80" w:after="120"/>
        <w:jc w:val="both"/>
      </w:pPr>
      <w:r>
        <w:t>All research conducted on human pa</w:t>
      </w:r>
      <w:r w:rsidR="002078BC">
        <w:t xml:space="preserve">rticipants during an outbreak </w:t>
      </w:r>
      <w:r>
        <w:t>including clinical trials, observational studies, sample collection, and us</w:t>
      </w:r>
      <w:r w:rsidR="002078BC">
        <w:t>e of experimental therapeutics</w:t>
      </w:r>
      <w:r>
        <w:t xml:space="preserve"> must receive prospective review from a duly registered Research Ethics Committee (REC) or the NBC as appropriate. Emergency review procedures should be expedited but must not be waived.</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tblPr>
      <w:tblGrid>
        <w:gridCol w:w="9360"/>
      </w:tblGrid>
      <w:tr w:rsidR="00EA5600" w:rsidTr="00D10DF7">
        <w:tc>
          <w:tcPr>
            <w:tcW w:w="9360" w:type="dxa"/>
            <w:tcBorders>
              <w:top w:val="single" w:sz="4" w:space="0" w:color="1A5C38"/>
              <w:left w:val="single" w:sz="4" w:space="0" w:color="1A5C38"/>
              <w:bottom w:val="single" w:sz="4" w:space="0" w:color="1A5C38"/>
              <w:right w:val="single" w:sz="4" w:space="0" w:color="1A5C38"/>
            </w:tcBorders>
            <w:shd w:val="clear" w:color="auto" w:fill="D6E9DC"/>
            <w:tcMar>
              <w:top w:w="120" w:type="dxa"/>
              <w:left w:w="200" w:type="dxa"/>
              <w:bottom w:w="120" w:type="dxa"/>
              <w:right w:w="200" w:type="dxa"/>
            </w:tcMar>
          </w:tcPr>
          <w:p w:rsidR="00EA5600" w:rsidRDefault="00EA5600" w:rsidP="00D10DF7">
            <w:pPr>
              <w:spacing w:after="100"/>
            </w:pPr>
            <w:r>
              <w:rPr>
                <w:b/>
                <w:bCs/>
                <w:color w:val="1A5C38"/>
              </w:rPr>
              <w:t>How to Apply for NBC-REC Ethical Review</w:t>
            </w:r>
          </w:p>
          <w:p w:rsidR="00EA5600" w:rsidRDefault="00EA5600" w:rsidP="00D10DF7">
            <w:pPr>
              <w:spacing w:after="80"/>
            </w:pPr>
            <w:r>
              <w:t>Researchers must submit an application before commencing any human-subjects research. The review process ordinarily takes six weeks. The following resources are available on the NBC website:</w:t>
            </w:r>
          </w:p>
          <w:p w:rsidR="00EA5600" w:rsidRDefault="00EA5600" w:rsidP="00EA5600">
            <w:pPr>
              <w:pStyle w:val="ListParagraph"/>
              <w:numPr>
                <w:ilvl w:val="0"/>
                <w:numId w:val="3"/>
              </w:numPr>
              <w:spacing w:before="40" w:after="40"/>
            </w:pPr>
            <w:r>
              <w:t xml:space="preserve">Ethical Clearance overview and mandatory research categories: </w:t>
            </w:r>
            <w:hyperlink r:id="rId8" w:history="1">
              <w:r>
                <w:rPr>
                  <w:color w:val="1155CC"/>
                  <w:u w:val="single"/>
                </w:rPr>
                <w:t>nbcpakistan.org.pk/ethical-clearance.html</w:t>
              </w:r>
            </w:hyperlink>
          </w:p>
          <w:p w:rsidR="00EA5600" w:rsidRDefault="00EA5600" w:rsidP="00EA5600">
            <w:pPr>
              <w:pStyle w:val="ListParagraph"/>
              <w:numPr>
                <w:ilvl w:val="0"/>
                <w:numId w:val="3"/>
              </w:numPr>
              <w:spacing w:before="40" w:after="40"/>
            </w:pPr>
            <w:r>
              <w:t xml:space="preserve">Application form, guidelines, progress report &amp; exemption request forms: </w:t>
            </w:r>
            <w:hyperlink r:id="rId9" w:history="1">
              <w:r>
                <w:rPr>
                  <w:color w:val="1155CC"/>
                  <w:u w:val="single"/>
                </w:rPr>
                <w:t>nbcpakistan.org.pk/downloads.html</w:t>
              </w:r>
            </w:hyperlink>
          </w:p>
          <w:p w:rsidR="00EA5600" w:rsidRDefault="00EA5600" w:rsidP="00EA5600">
            <w:pPr>
              <w:pStyle w:val="ListParagraph"/>
              <w:numPr>
                <w:ilvl w:val="0"/>
                <w:numId w:val="3"/>
              </w:numPr>
              <w:spacing w:before="40" w:after="40"/>
            </w:pPr>
            <w:r>
              <w:t xml:space="preserve">NBC-R (NIH) ethics review for government-funded or multi-province research: </w:t>
            </w:r>
            <w:hyperlink r:id="rId10" w:history="1">
              <w:r>
                <w:rPr>
                  <w:color w:val="1155CC"/>
                  <w:u w:val="single"/>
                </w:rPr>
                <w:t>nbcpakistan.org.pk/nbc-r.html</w:t>
              </w:r>
            </w:hyperlink>
          </w:p>
          <w:p w:rsidR="00EA5600" w:rsidRDefault="00EA5600" w:rsidP="00D10DF7">
            <w:pPr>
              <w:spacing w:before="80"/>
            </w:pPr>
            <w:r>
              <w:rPr>
                <w:b/>
                <w:bCs/>
              </w:rPr>
              <w:t xml:space="preserve">Secretariat: </w:t>
            </w:r>
            <w:r>
              <w:t xml:space="preserve">Pakistan Health Research Council, Shahrah-e-Jamhuriat, Sector G-5/2, </w:t>
            </w:r>
            <w:r w:rsidR="00CB727F">
              <w:t>Islamabad | Tel</w:t>
            </w:r>
            <w:r>
              <w:t>: +92-51-9207386</w:t>
            </w:r>
          </w:p>
        </w:tc>
      </w:tr>
    </w:tbl>
    <w:p w:rsidR="00EA5600" w:rsidRDefault="00EA5600">
      <w:pPr>
        <w:spacing w:before="80" w:after="120"/>
        <w:jc w:val="both"/>
      </w:pPr>
    </w:p>
    <w:p w:rsidR="00A854F0" w:rsidRDefault="002078BC">
      <w:pPr>
        <w:pStyle w:val="Heading2"/>
      </w:pPr>
      <w:r>
        <w:lastRenderedPageBreak/>
        <w:t>6.2 Informed</w:t>
      </w:r>
      <w:r w:rsidR="00103C9E">
        <w:t xml:space="preserve"> Consent</w:t>
      </w:r>
    </w:p>
    <w:p w:rsidR="00A854F0" w:rsidRDefault="00103C9E">
      <w:pPr>
        <w:spacing w:before="80" w:after="120"/>
        <w:jc w:val="both"/>
      </w:pPr>
      <w:r>
        <w:t>Informed consent</w:t>
      </w:r>
      <w:r w:rsidR="00C01276">
        <w:t xml:space="preserve">/ assentin cases of minors/ surrogate consent </w:t>
      </w:r>
      <w:r>
        <w:t xml:space="preserve">remains obligatory even in emergencies. Where the usual written consent process is impractical, an approved short-form oral consent procedure, witnessed and documented, may be used. The rationale for any modification must be recorded and justified to the </w:t>
      </w:r>
      <w:r w:rsidR="00C01276">
        <w:t xml:space="preserve">IRBs/ </w:t>
      </w:r>
      <w:r>
        <w:t>REC</w:t>
      </w:r>
      <w:r w:rsidR="00C01276">
        <w:t>/NBC</w:t>
      </w:r>
      <w:r>
        <w:t>.</w:t>
      </w:r>
    </w:p>
    <w:p w:rsidR="00A854F0" w:rsidRDefault="002078BC">
      <w:pPr>
        <w:pStyle w:val="Heading2"/>
      </w:pPr>
      <w:r>
        <w:t>6.3 Equitable</w:t>
      </w:r>
      <w:r w:rsidR="00103C9E">
        <w:t xml:space="preserve"> Access to Benefits</w:t>
      </w:r>
    </w:p>
    <w:p w:rsidR="00A854F0" w:rsidRDefault="00103C9E">
      <w:pPr>
        <w:spacing w:before="80" w:after="120"/>
        <w:jc w:val="both"/>
      </w:pPr>
      <w:r>
        <w:t>Research conducted in Pakistan during an outbreak must include provisions for Pakistani populations to benefit from resulting products. International collaborations must not extract biological samples or data without reciprocal benefit-sharing agreements and NBC oversight.</w:t>
      </w:r>
    </w:p>
    <w:p w:rsidR="00A854F0" w:rsidRDefault="002078BC">
      <w:pPr>
        <w:pStyle w:val="Heading2"/>
      </w:pPr>
      <w:r>
        <w:t>6.4 Compassionate</w:t>
      </w:r>
      <w:r w:rsidR="00103C9E">
        <w:t xml:space="preserve"> Use</w:t>
      </w:r>
    </w:p>
    <w:p w:rsidR="00A854F0" w:rsidRDefault="00103C9E">
      <w:pPr>
        <w:spacing w:before="80" w:after="120"/>
        <w:jc w:val="both"/>
      </w:pPr>
      <w:r>
        <w:t>Experimental interventions may be offered outside clinical trials under compassionate use provisions, provided: the intervention has shown preliminary evidence of safety; the patient is unable to enroll in a trial; free and informed consent is obtained; and outcomes are systematically docu</w:t>
      </w:r>
      <w:r w:rsidR="002078BC">
        <w:t xml:space="preserve">mented and reported </w:t>
      </w:r>
      <w:r w:rsidR="002078BC" w:rsidRPr="002078BC">
        <w:rPr>
          <w:b/>
          <w:i/>
        </w:rPr>
        <w:t>only after IRB and NBC approval.</w:t>
      </w:r>
    </w:p>
    <w:p w:rsidR="00A854F0" w:rsidRDefault="00103C9E">
      <w:pPr>
        <w:pStyle w:val="Heading1"/>
      </w:pPr>
      <w:r>
        <w:t>7.  Obligations and Protections of Healthcare Workers</w:t>
      </w:r>
    </w:p>
    <w:p w:rsidR="00A854F0" w:rsidRDefault="00A854F0">
      <w:pPr>
        <w:pBdr>
          <w:bottom w:val="single" w:sz="8" w:space="1" w:color="1A5C38"/>
        </w:pBdr>
        <w:spacing w:after="160"/>
      </w:pPr>
    </w:p>
    <w:p w:rsidR="00A854F0" w:rsidRDefault="00103C9E">
      <w:pPr>
        <w:spacing w:before="80" w:after="120"/>
        <w:jc w:val="both"/>
      </w:pPr>
      <w:r>
        <w:t>Healthcare workers occupy a position of heightened moral duty during outbreaks. However, this duty is reciprocal.</w:t>
      </w:r>
    </w:p>
    <w:p w:rsidR="00A854F0" w:rsidRDefault="00103C9E">
      <w:pPr>
        <w:spacing w:before="80" w:after="120"/>
        <w:jc w:val="both"/>
      </w:pPr>
      <w:r>
        <w:rPr>
          <w:b/>
          <w:bCs/>
          <w:color w:val="1A5C38"/>
        </w:rPr>
        <w:t xml:space="preserve">Duty to Care: </w:t>
      </w:r>
      <w:r>
        <w:t>Trained health professionals have a prima facie ethical obligation to continue providing care during outbreaks, even when personal risk is elevated. Abandonment of patients without adequate cause is a breach of professional duty.</w:t>
      </w:r>
    </w:p>
    <w:p w:rsidR="00A854F0" w:rsidRDefault="00103C9E">
      <w:pPr>
        <w:spacing w:before="80" w:after="120"/>
        <w:jc w:val="both"/>
      </w:pPr>
      <w:r>
        <w:rPr>
          <w:b/>
          <w:bCs/>
          <w:color w:val="1A5C38"/>
        </w:rPr>
        <w:t xml:space="preserve">Limits of Obligation: </w:t>
      </w:r>
      <w:r>
        <w:t>The duty to care is not unlimited. Workers may withdraw when: effective personal protective equipment (PPE) is unavailable; the risk is disproportionate to any benefit; or the worker has a serious underlying health condition.</w:t>
      </w:r>
    </w:p>
    <w:p w:rsidR="00A854F0" w:rsidRDefault="00103C9E">
      <w:pPr>
        <w:spacing w:before="80" w:after="120"/>
        <w:jc w:val="both"/>
      </w:pPr>
      <w:r>
        <w:rPr>
          <w:b/>
          <w:bCs/>
          <w:color w:val="1A5C38"/>
        </w:rPr>
        <w:t xml:space="preserve">Obligations of Employers: </w:t>
      </w:r>
      <w:r>
        <w:t xml:space="preserve">Health facilities and government authorities must: provide adequate PPE and training; arrange regular testing; offer mental health support; ensure fair compensation; guarantee no </w:t>
      </w:r>
      <w:r w:rsidR="002078BC">
        <w:t>penalization</w:t>
      </w:r>
      <w:r>
        <w:t xml:space="preserve"> for raising safety concerns; and </w:t>
      </w:r>
      <w:r w:rsidR="002078BC">
        <w:t>priorities</w:t>
      </w:r>
      <w:r>
        <w:t xml:space="preserve"> healthcare workers in vaccine and treatment allocation.</w:t>
      </w:r>
    </w:p>
    <w:p w:rsidR="00A854F0" w:rsidRDefault="00103C9E">
      <w:pPr>
        <w:spacing w:before="80" w:after="120"/>
        <w:jc w:val="both"/>
      </w:pPr>
      <w:r>
        <w:rPr>
          <w:b/>
          <w:bCs/>
          <w:color w:val="1A5C38"/>
        </w:rPr>
        <w:t xml:space="preserve">Conscientious Objection: </w:t>
      </w:r>
      <w:r>
        <w:t xml:space="preserve">Workers may raise conscientious objection to specific tasks on religious or moral grounds, provided patient care is not </w:t>
      </w:r>
      <w:r w:rsidR="002078BC">
        <w:t>jeopardized</w:t>
      </w:r>
      <w:r>
        <w:t xml:space="preserve"> and an alternative provider is arranged.</w:t>
      </w:r>
    </w:p>
    <w:p w:rsidR="00A854F0" w:rsidRDefault="00103C9E">
      <w:pPr>
        <w:pStyle w:val="Heading1"/>
      </w:pPr>
      <w:r>
        <w:t xml:space="preserve">8.  Vulnerable and </w:t>
      </w:r>
      <w:r w:rsidR="002078BC">
        <w:t>Marginalized</w:t>
      </w:r>
      <w:r>
        <w:t xml:space="preserve"> Populations</w:t>
      </w:r>
    </w:p>
    <w:p w:rsidR="00A854F0" w:rsidRDefault="00A854F0">
      <w:pPr>
        <w:pBdr>
          <w:bottom w:val="single" w:sz="8" w:space="1" w:color="1A5C38"/>
        </w:pBdr>
        <w:spacing w:after="160"/>
      </w:pPr>
    </w:p>
    <w:p w:rsidR="00A854F0" w:rsidRDefault="00103C9E">
      <w:pPr>
        <w:spacing w:before="80" w:after="120"/>
        <w:jc w:val="both"/>
      </w:pPr>
      <w:r>
        <w:t>Outbreaks consistently expose and deepen existing social inequalities. Ethically sound responses must affirmatively address the needs of:</w:t>
      </w:r>
    </w:p>
    <w:p w:rsidR="00A854F0" w:rsidRDefault="00103C9E">
      <w:pPr>
        <w:pStyle w:val="ListParagraph"/>
        <w:numPr>
          <w:ilvl w:val="0"/>
          <w:numId w:val="2"/>
        </w:numPr>
        <w:spacing w:before="60" w:after="60"/>
      </w:pPr>
      <w:r>
        <w:t>Children, particularly those separated from caregivers;</w:t>
      </w:r>
    </w:p>
    <w:p w:rsidR="00A854F0" w:rsidRDefault="00103C9E">
      <w:pPr>
        <w:pStyle w:val="ListParagraph"/>
        <w:numPr>
          <w:ilvl w:val="0"/>
          <w:numId w:val="2"/>
        </w:numPr>
        <w:spacing w:before="60" w:after="60"/>
      </w:pPr>
      <w:r>
        <w:t>Elderly persons in long-term care or isolated households;</w:t>
      </w:r>
    </w:p>
    <w:p w:rsidR="00A854F0" w:rsidRDefault="00103C9E">
      <w:pPr>
        <w:pStyle w:val="ListParagraph"/>
        <w:numPr>
          <w:ilvl w:val="0"/>
          <w:numId w:val="2"/>
        </w:numPr>
        <w:spacing w:before="60" w:after="60"/>
      </w:pPr>
      <w:r>
        <w:t>Persons with disabilities requiring accessible information and adapted services;</w:t>
      </w:r>
    </w:p>
    <w:p w:rsidR="00A854F0" w:rsidRDefault="00103C9E">
      <w:pPr>
        <w:pStyle w:val="ListParagraph"/>
        <w:numPr>
          <w:ilvl w:val="0"/>
          <w:numId w:val="2"/>
        </w:numPr>
        <w:spacing w:before="60" w:after="60"/>
      </w:pPr>
      <w:r>
        <w:t>Women and girls, including those facing domestic violence worsened by lockdowns;</w:t>
      </w:r>
    </w:p>
    <w:p w:rsidR="00A854F0" w:rsidRDefault="00103C9E">
      <w:pPr>
        <w:pStyle w:val="ListParagraph"/>
        <w:numPr>
          <w:ilvl w:val="0"/>
          <w:numId w:val="2"/>
        </w:numPr>
        <w:spacing w:before="60" w:after="60"/>
      </w:pPr>
      <w:r>
        <w:t>Refugees, internally displaced persons, and undocumented migrants, who retain equal rights to public health protection regardless of legal status;</w:t>
      </w:r>
    </w:p>
    <w:p w:rsidR="00A854F0" w:rsidRDefault="00103C9E">
      <w:pPr>
        <w:pStyle w:val="ListParagraph"/>
        <w:numPr>
          <w:ilvl w:val="0"/>
          <w:numId w:val="2"/>
        </w:numPr>
        <w:spacing w:before="60" w:after="60"/>
      </w:pPr>
      <w:r>
        <w:lastRenderedPageBreak/>
        <w:t>Persons in detention and correctional facilities;</w:t>
      </w:r>
    </w:p>
    <w:p w:rsidR="00A854F0" w:rsidRDefault="00103C9E">
      <w:pPr>
        <w:pStyle w:val="ListParagraph"/>
        <w:numPr>
          <w:ilvl w:val="0"/>
          <w:numId w:val="2"/>
        </w:numPr>
        <w:spacing w:before="60" w:after="60"/>
      </w:pPr>
      <w:r>
        <w:t>Impoverished communities with limited access to clean water, sanitation, and healthcare.</w:t>
      </w:r>
    </w:p>
    <w:p w:rsidR="00A854F0" w:rsidRDefault="00A854F0">
      <w:pPr>
        <w:spacing w:after="80"/>
      </w:pPr>
    </w:p>
    <w:p w:rsidR="00A854F0" w:rsidRDefault="00103C9E">
      <w:pPr>
        <w:spacing w:before="80" w:after="120"/>
        <w:jc w:val="both"/>
      </w:pPr>
      <w:r>
        <w:t>Outbreak response plans must include specific protocols for reaching these groups and must not inadvertently exclude them through digital-only communication or registration barriers.</w:t>
      </w:r>
    </w:p>
    <w:p w:rsidR="00A854F0" w:rsidRDefault="00103C9E">
      <w:pPr>
        <w:pStyle w:val="Heading1"/>
      </w:pPr>
      <w:r>
        <w:t>9.  Community Engagement and Communication</w:t>
      </w:r>
    </w:p>
    <w:p w:rsidR="00A854F0" w:rsidRDefault="00A854F0">
      <w:pPr>
        <w:pBdr>
          <w:bottom w:val="single" w:sz="8" w:space="1" w:color="1A5C38"/>
        </w:pBdr>
        <w:spacing w:after="160"/>
      </w:pPr>
    </w:p>
    <w:p w:rsidR="00A854F0" w:rsidRDefault="00103C9E">
      <w:pPr>
        <w:spacing w:before="80" w:after="120"/>
        <w:jc w:val="both"/>
      </w:pPr>
      <w:r>
        <w:rPr>
          <w:b/>
          <w:bCs/>
          <w:color w:val="1A5C38"/>
        </w:rPr>
        <w:t xml:space="preserve">Trust as a Public Health Asset: </w:t>
      </w:r>
      <w:r>
        <w:t>Public trust is essential to outbreak control. It cannot be assumed; it must be earned through consistent, honest, and culturally respectful communication.</w:t>
      </w:r>
    </w:p>
    <w:p w:rsidR="00A854F0" w:rsidRDefault="00103C9E">
      <w:pPr>
        <w:spacing w:before="80" w:after="120"/>
        <w:jc w:val="both"/>
      </w:pPr>
      <w:r>
        <w:rPr>
          <w:b/>
          <w:bCs/>
          <w:color w:val="1A5C38"/>
        </w:rPr>
        <w:t xml:space="preserve">Risk Communication: </w:t>
      </w:r>
      <w:r>
        <w:t>Health authorities must communicate risk in clear Urdu and regional languages, avoid technical jargon, and provide culturally appropriate guidance. Messages should be accessible to low-literacy populations through audio, visual, and community-based channels.</w:t>
      </w:r>
    </w:p>
    <w:p w:rsidR="00A854F0" w:rsidRDefault="00103C9E">
      <w:pPr>
        <w:spacing w:before="80" w:after="120"/>
        <w:jc w:val="both"/>
      </w:pPr>
      <w:r>
        <w:rPr>
          <w:b/>
          <w:bCs/>
          <w:color w:val="1A5C38"/>
        </w:rPr>
        <w:t xml:space="preserve">Combating Misinformation: </w:t>
      </w:r>
      <w:r>
        <w:t xml:space="preserve">The NBC encourages proactive collaboration with religious scholars, local leaders, and media </w:t>
      </w:r>
      <w:r w:rsidR="002078BC">
        <w:t>organizations</w:t>
      </w:r>
      <w:r>
        <w:t xml:space="preserve"> to counter harmful misinformation. Censorship of non-harmful dissent or criticism of government measures is ethically unjustifiable and counterproductive.</w:t>
      </w:r>
    </w:p>
    <w:p w:rsidR="00A854F0" w:rsidRDefault="00103C9E">
      <w:pPr>
        <w:spacing w:before="80" w:after="120"/>
        <w:jc w:val="both"/>
      </w:pPr>
      <w:r>
        <w:rPr>
          <w:b/>
          <w:bCs/>
          <w:color w:val="1A5C38"/>
        </w:rPr>
        <w:t xml:space="preserve">Community Participation: </w:t>
      </w:r>
      <w:r>
        <w:t xml:space="preserve">Communities affected by outbreak-response measures should, to the extent possible, be consulted in the design of those measures. This includes community health workers, patient representatives, and civil society </w:t>
      </w:r>
      <w:r w:rsidR="002078BC">
        <w:t>organizations</w:t>
      </w:r>
      <w:r>
        <w:t>.</w:t>
      </w:r>
    </w:p>
    <w:p w:rsidR="00A854F0" w:rsidRDefault="00103C9E">
      <w:pPr>
        <w:pStyle w:val="Heading1"/>
      </w:pPr>
      <w:r>
        <w:t>10.  Implementation, Accountability, and Review</w:t>
      </w:r>
    </w:p>
    <w:p w:rsidR="00A854F0" w:rsidRDefault="00A854F0">
      <w:pPr>
        <w:pBdr>
          <w:bottom w:val="single" w:sz="8" w:space="1" w:color="1A5C38"/>
        </w:pBdr>
        <w:spacing w:after="160"/>
      </w:pPr>
    </w:p>
    <w:p w:rsidR="00A854F0" w:rsidRDefault="002078BC">
      <w:pPr>
        <w:pStyle w:val="Heading2"/>
      </w:pPr>
      <w:r>
        <w:t>10.1 NBC</w:t>
      </w:r>
      <w:r w:rsidR="00103C9E">
        <w:t xml:space="preserve"> Oversight Role</w:t>
      </w:r>
    </w:p>
    <w:p w:rsidR="00A854F0" w:rsidRDefault="00103C9E">
      <w:pPr>
        <w:spacing w:before="80" w:after="120"/>
        <w:jc w:val="both"/>
      </w:pPr>
      <w:r>
        <w:t>The National Bioethics Committee will: advise the federal government on ethical dimensions of outbreak response; review policies for compliance with this Guidance; and issue supplementary guidance on specific ethical issues as they arise.</w:t>
      </w:r>
    </w:p>
    <w:p w:rsidR="00A854F0" w:rsidRDefault="002078BC">
      <w:pPr>
        <w:pStyle w:val="Heading2"/>
      </w:pPr>
      <w:r>
        <w:t xml:space="preserve">10.2 Provincial/ Institutional </w:t>
      </w:r>
      <w:r w:rsidR="00103C9E">
        <w:t>Health</w:t>
      </w:r>
      <w:r>
        <w:t>/ Research</w:t>
      </w:r>
      <w:r w:rsidR="00103C9E">
        <w:t xml:space="preserve"> Ethics Committees</w:t>
      </w:r>
    </w:p>
    <w:p w:rsidR="00A854F0" w:rsidRDefault="00103C9E">
      <w:pPr>
        <w:spacing w:before="80" w:after="120"/>
        <w:jc w:val="both"/>
      </w:pPr>
      <w:r>
        <w:t>Each province and Islamabad Capital Territory is encouraged to establish o</w:t>
      </w:r>
      <w:r w:rsidR="002078BC">
        <w:t xml:space="preserve">r designate a Provincial Health/ Research </w:t>
      </w:r>
      <w:r>
        <w:t>Ethics Committee responsible for applying this Guidance at the local level, advising health departments, and receiving complaints regarding ethical breaches.</w:t>
      </w:r>
    </w:p>
    <w:p w:rsidR="00A854F0" w:rsidRDefault="002078BC">
      <w:pPr>
        <w:pStyle w:val="Heading2"/>
      </w:pPr>
      <w:r>
        <w:t>10.3 Accountability</w:t>
      </w:r>
      <w:r w:rsidR="00103C9E">
        <w:t xml:space="preserve"> Mechanisms</w:t>
      </w:r>
    </w:p>
    <w:p w:rsidR="00A854F0" w:rsidRDefault="00103C9E">
      <w:pPr>
        <w:spacing w:before="80" w:after="120"/>
        <w:jc w:val="both"/>
      </w:pPr>
      <w:r>
        <w:t>All decisions taken under emergency health powers must be: documented with rationale; made available for post-incident review; and assessed against the principles in this Guidance. Decision-makers are accountable to Parliament, the judiciary, and the public.</w:t>
      </w:r>
    </w:p>
    <w:p w:rsidR="00A854F0" w:rsidRDefault="002078BC">
      <w:pPr>
        <w:pStyle w:val="Heading2"/>
      </w:pPr>
      <w:r>
        <w:t>10.4 Review</w:t>
      </w:r>
      <w:r w:rsidR="00103C9E">
        <w:t xml:space="preserve"> of This Guidance</w:t>
      </w:r>
    </w:p>
    <w:p w:rsidR="00A854F0" w:rsidRDefault="00103C9E">
      <w:pPr>
        <w:spacing w:before="80" w:after="120"/>
        <w:jc w:val="both"/>
      </w:pPr>
      <w:r>
        <w:t>This Guidance should be reviewed after every major outbreak and updated at least every five years or when significant changes in law, disease landscape, or international standards require revision.</w:t>
      </w:r>
    </w:p>
    <w:p w:rsidR="002078BC" w:rsidRDefault="002078BC">
      <w:r>
        <w:br w:type="page"/>
      </w:r>
    </w:p>
    <w:p w:rsidR="00A854F0" w:rsidRDefault="00103C9E">
      <w:pPr>
        <w:pStyle w:val="Heading1"/>
      </w:pPr>
      <w:r>
        <w:lastRenderedPageBreak/>
        <w:t>References and Further Reading</w:t>
      </w:r>
    </w:p>
    <w:p w:rsidR="00A854F0" w:rsidRDefault="00A854F0">
      <w:pPr>
        <w:pBdr>
          <w:bottom w:val="single" w:sz="8" w:space="1" w:color="1A5C38"/>
        </w:pBdr>
        <w:spacing w:after="160"/>
      </w:pPr>
    </w:p>
    <w:p w:rsidR="00A854F0" w:rsidRDefault="00103C9E">
      <w:pPr>
        <w:pStyle w:val="ListParagraph"/>
        <w:numPr>
          <w:ilvl w:val="0"/>
          <w:numId w:val="2"/>
        </w:numPr>
        <w:spacing w:before="60" w:after="60"/>
      </w:pPr>
      <w:r>
        <w:t>World Health Organization (2016). Guidance for Managing Ethical Issues in Infectious Disease Outbreaks. Geneva: WHO.</w:t>
      </w:r>
    </w:p>
    <w:p w:rsidR="00A854F0" w:rsidRDefault="00103C9E">
      <w:pPr>
        <w:pStyle w:val="ListParagraph"/>
        <w:numPr>
          <w:ilvl w:val="0"/>
          <w:numId w:val="2"/>
        </w:numPr>
        <w:spacing w:before="60" w:after="60"/>
      </w:pPr>
      <w:r>
        <w:t>International Health Regulations (2005). 3rd Edition. Geneva: WHO.</w:t>
      </w:r>
    </w:p>
    <w:p w:rsidR="00A854F0" w:rsidRDefault="00103C9E">
      <w:pPr>
        <w:pStyle w:val="ListParagraph"/>
        <w:numPr>
          <w:ilvl w:val="0"/>
          <w:numId w:val="2"/>
        </w:numPr>
        <w:spacing w:before="60" w:after="60"/>
      </w:pPr>
      <w:r>
        <w:t>Pakistan National Regulations on Disease Notification and Surveillance.</w:t>
      </w:r>
    </w:p>
    <w:p w:rsidR="00A854F0" w:rsidRDefault="00103C9E">
      <w:pPr>
        <w:pStyle w:val="ListParagraph"/>
        <w:numPr>
          <w:ilvl w:val="0"/>
          <w:numId w:val="2"/>
        </w:numPr>
        <w:spacing w:before="60" w:after="60"/>
      </w:pPr>
      <w:r>
        <w:t>National Bioethics Committee, Pakistan. Guidelines for Health Research (2017).</w:t>
      </w:r>
    </w:p>
    <w:p w:rsidR="00A854F0" w:rsidRDefault="00103C9E">
      <w:pPr>
        <w:pStyle w:val="ListParagraph"/>
        <w:numPr>
          <w:ilvl w:val="0"/>
          <w:numId w:val="2"/>
        </w:numPr>
        <w:spacing w:before="60" w:after="60"/>
      </w:pPr>
      <w:r>
        <w:t>PHEIC Declaration Provisions and Pakistan's IHR Obligations.</w:t>
      </w:r>
    </w:p>
    <w:p w:rsidR="00A854F0" w:rsidRDefault="00103C9E">
      <w:pPr>
        <w:pStyle w:val="ListParagraph"/>
        <w:numPr>
          <w:ilvl w:val="0"/>
          <w:numId w:val="2"/>
        </w:numPr>
        <w:spacing w:before="60" w:after="60"/>
      </w:pPr>
      <w:r>
        <w:t>Siracusa Principles on the Limitation and Derogation of Provisions in the ICCPR (1984).</w:t>
      </w:r>
    </w:p>
    <w:p w:rsidR="00A854F0" w:rsidRDefault="00A854F0">
      <w:pPr>
        <w:spacing w:after="240"/>
      </w:pPr>
    </w:p>
    <w:p w:rsidR="00A854F0" w:rsidRDefault="00A854F0">
      <w:pPr>
        <w:pBdr>
          <w:bottom w:val="single" w:sz="8" w:space="1" w:color="C5A028"/>
        </w:pBdr>
        <w:spacing w:after="160"/>
      </w:pPr>
    </w:p>
    <w:p w:rsidR="00A854F0" w:rsidRDefault="00103C9E">
      <w:pPr>
        <w:spacing w:before="160"/>
        <w:jc w:val="center"/>
      </w:pPr>
      <w:r>
        <w:rPr>
          <w:i/>
          <w:iCs/>
          <w:color w:val="888888"/>
          <w:sz w:val="18"/>
          <w:szCs w:val="18"/>
        </w:rPr>
        <w:t>Issued by the National Bioethics Committee | Government of Pakistan | 2025</w:t>
      </w:r>
    </w:p>
    <w:sectPr w:rsidR="00A854F0" w:rsidSect="00044F40">
      <w:headerReference w:type="default" r:id="rId11"/>
      <w:footerReference w:type="default" r:id="rId12"/>
      <w:pgSz w:w="12240" w:h="15840"/>
      <w:pgMar w:top="1080" w:right="1260" w:bottom="1080" w:left="1260" w:header="708" w:footer="708"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F7E0A" w:rsidRDefault="00DF7E0A">
      <w:r>
        <w:separator/>
      </w:r>
    </w:p>
  </w:endnote>
  <w:endnote w:type="continuationSeparator" w:id="1">
    <w:p w:rsidR="00DF7E0A" w:rsidRDefault="00DF7E0A">
      <w:r>
        <w:continuationSeparator/>
      </w:r>
    </w:p>
  </w:endnote>
</w:endnotes>
</file>

<file path=word/fontTable.xml><?xml version="1.0" encoding="utf-8"?>
<w:fonts xmlns:r="http://schemas.openxmlformats.org/officeDocument/2006/relationships" xmlns:w="http://schemas.openxmlformats.org/wordprocessingml/2006/main">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854F0" w:rsidRDefault="00103C9E">
    <w:pPr>
      <w:pBdr>
        <w:top w:val="single" w:sz="8" w:space="4" w:color="C5A028"/>
      </w:pBdr>
      <w:tabs>
        <w:tab w:val="right" w:pos="9026"/>
      </w:tabs>
      <w:spacing w:before="80"/>
    </w:pPr>
    <w:r>
      <w:rPr>
        <w:color w:val="555555"/>
        <w:sz w:val="18"/>
        <w:szCs w:val="18"/>
      </w:rPr>
      <w:t>National Bioethics Committee, Pakistan | 2025</w:t>
    </w:r>
    <w:r>
      <w:rPr>
        <w:sz w:val="18"/>
        <w:szCs w:val="18"/>
      </w:rPr>
      <w:tab/>
    </w:r>
    <w:r w:rsidR="00044F40">
      <w:rPr>
        <w:color w:val="555555"/>
        <w:sz w:val="18"/>
        <w:szCs w:val="18"/>
      </w:rPr>
      <w:fldChar w:fldCharType="begin"/>
    </w:r>
    <w:r>
      <w:rPr>
        <w:color w:val="555555"/>
        <w:sz w:val="18"/>
        <w:szCs w:val="18"/>
      </w:rPr>
      <w:instrText>PAGE</w:instrText>
    </w:r>
    <w:r w:rsidR="00044F40">
      <w:rPr>
        <w:color w:val="555555"/>
        <w:sz w:val="18"/>
        <w:szCs w:val="18"/>
      </w:rPr>
      <w:fldChar w:fldCharType="separate"/>
    </w:r>
    <w:r w:rsidR="00C10175">
      <w:rPr>
        <w:noProof/>
        <w:color w:val="555555"/>
        <w:sz w:val="18"/>
        <w:szCs w:val="18"/>
      </w:rPr>
      <w:t>1</w:t>
    </w:r>
    <w:r w:rsidR="00044F40">
      <w:rPr>
        <w:color w:val="555555"/>
        <w:sz w:val="18"/>
        <w:szCs w:val="18"/>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F7E0A" w:rsidRDefault="00DF7E0A">
      <w:r>
        <w:separator/>
      </w:r>
    </w:p>
  </w:footnote>
  <w:footnote w:type="continuationSeparator" w:id="1">
    <w:p w:rsidR="00DF7E0A" w:rsidRDefault="00DF7E0A">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854F0" w:rsidRDefault="00103C9E">
    <w:pPr>
      <w:pBdr>
        <w:bottom w:val="single" w:sz="8" w:space="4" w:color="1A5C38"/>
      </w:pBdr>
    </w:pPr>
    <w:r>
      <w:rPr>
        <w:color w:val="555555"/>
        <w:sz w:val="18"/>
        <w:szCs w:val="18"/>
      </w:rPr>
      <w:t>NBC Pakistan | Managing Ethical Issues in Infectious Disease Outbreaks</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551195A"/>
    <w:multiLevelType w:val="hybridMultilevel"/>
    <w:tmpl w:val="B0BA680E"/>
    <w:lvl w:ilvl="0" w:tplc="4BD0BB20">
      <w:start w:val="1"/>
      <w:numFmt w:val="bullet"/>
      <w:lvlText w:val="•"/>
      <w:lvlJc w:val="left"/>
      <w:pPr>
        <w:ind w:left="720" w:hanging="360"/>
      </w:pPr>
    </w:lvl>
    <w:lvl w:ilvl="1" w:tplc="4DCAAA0A">
      <w:start w:val="1"/>
      <w:numFmt w:val="bullet"/>
      <w:lvlText w:val="◦"/>
      <w:lvlJc w:val="left"/>
      <w:pPr>
        <w:ind w:left="1080" w:hanging="360"/>
      </w:pPr>
    </w:lvl>
    <w:lvl w:ilvl="2" w:tplc="F29E1C2E">
      <w:numFmt w:val="decimal"/>
      <w:lvlText w:val=""/>
      <w:lvlJc w:val="left"/>
    </w:lvl>
    <w:lvl w:ilvl="3" w:tplc="79A4EC68">
      <w:numFmt w:val="decimal"/>
      <w:lvlText w:val=""/>
      <w:lvlJc w:val="left"/>
    </w:lvl>
    <w:lvl w:ilvl="4" w:tplc="0ECC00E8">
      <w:numFmt w:val="decimal"/>
      <w:lvlText w:val=""/>
      <w:lvlJc w:val="left"/>
    </w:lvl>
    <w:lvl w:ilvl="5" w:tplc="3D16E21A">
      <w:numFmt w:val="decimal"/>
      <w:lvlText w:val=""/>
      <w:lvlJc w:val="left"/>
    </w:lvl>
    <w:lvl w:ilvl="6" w:tplc="91C84350">
      <w:numFmt w:val="decimal"/>
      <w:lvlText w:val=""/>
      <w:lvlJc w:val="left"/>
    </w:lvl>
    <w:lvl w:ilvl="7" w:tplc="B9BE4212">
      <w:numFmt w:val="decimal"/>
      <w:lvlText w:val=""/>
      <w:lvlJc w:val="left"/>
    </w:lvl>
    <w:lvl w:ilvl="8" w:tplc="0DD4047C">
      <w:numFmt w:val="decimal"/>
      <w:lvlText w:val=""/>
      <w:lvlJc w:val="left"/>
    </w:lvl>
  </w:abstractNum>
  <w:abstractNum w:abstractNumId="1">
    <w:nsid w:val="695665C3"/>
    <w:multiLevelType w:val="hybridMultilevel"/>
    <w:tmpl w:val="9062932A"/>
    <w:lvl w:ilvl="0" w:tplc="5884568C">
      <w:start w:val="1"/>
      <w:numFmt w:val="bullet"/>
      <w:lvlText w:val="•"/>
      <w:lvlJc w:val="left"/>
      <w:pPr>
        <w:ind w:left="720" w:hanging="360"/>
      </w:pPr>
    </w:lvl>
    <w:lvl w:ilvl="1" w:tplc="B62E9822">
      <w:start w:val="1"/>
      <w:numFmt w:val="bullet"/>
      <w:lvlText w:val="◦"/>
      <w:lvlJc w:val="left"/>
      <w:pPr>
        <w:ind w:left="1080" w:hanging="360"/>
      </w:pPr>
    </w:lvl>
    <w:lvl w:ilvl="2" w:tplc="CD0CC0F4">
      <w:numFmt w:val="decimal"/>
      <w:lvlText w:val=""/>
      <w:lvlJc w:val="left"/>
    </w:lvl>
    <w:lvl w:ilvl="3" w:tplc="ECD6574C">
      <w:numFmt w:val="decimal"/>
      <w:lvlText w:val=""/>
      <w:lvlJc w:val="left"/>
    </w:lvl>
    <w:lvl w:ilvl="4" w:tplc="5F3029E0">
      <w:numFmt w:val="decimal"/>
      <w:lvlText w:val=""/>
      <w:lvlJc w:val="left"/>
    </w:lvl>
    <w:lvl w:ilvl="5" w:tplc="E24ABDEA">
      <w:numFmt w:val="decimal"/>
      <w:lvlText w:val=""/>
      <w:lvlJc w:val="left"/>
    </w:lvl>
    <w:lvl w:ilvl="6" w:tplc="634CDD36">
      <w:numFmt w:val="decimal"/>
      <w:lvlText w:val=""/>
      <w:lvlJc w:val="left"/>
    </w:lvl>
    <w:lvl w:ilvl="7" w:tplc="221CCE3E">
      <w:numFmt w:val="decimal"/>
      <w:lvlText w:val=""/>
      <w:lvlJc w:val="left"/>
    </w:lvl>
    <w:lvl w:ilvl="8" w:tplc="9A8C781E">
      <w:numFmt w:val="decimal"/>
      <w:lvlText w:val=""/>
      <w:lvlJc w:val="left"/>
    </w:lvl>
  </w:abstractNum>
  <w:abstractNum w:abstractNumId="2">
    <w:nsid w:val="69F07056"/>
    <w:multiLevelType w:val="hybridMultilevel"/>
    <w:tmpl w:val="C25CDF26"/>
    <w:lvl w:ilvl="0" w:tplc="73EA7096">
      <w:start w:val="1"/>
      <w:numFmt w:val="bullet"/>
      <w:lvlText w:val="●"/>
      <w:lvlJc w:val="left"/>
      <w:pPr>
        <w:ind w:left="720" w:hanging="360"/>
      </w:pPr>
    </w:lvl>
    <w:lvl w:ilvl="1" w:tplc="999C84B4">
      <w:start w:val="1"/>
      <w:numFmt w:val="bullet"/>
      <w:lvlText w:val="○"/>
      <w:lvlJc w:val="left"/>
      <w:pPr>
        <w:ind w:left="1440" w:hanging="360"/>
      </w:pPr>
    </w:lvl>
    <w:lvl w:ilvl="2" w:tplc="6A56D5FC">
      <w:start w:val="1"/>
      <w:numFmt w:val="bullet"/>
      <w:lvlText w:val="■"/>
      <w:lvlJc w:val="left"/>
      <w:pPr>
        <w:ind w:left="2160" w:hanging="360"/>
      </w:pPr>
    </w:lvl>
    <w:lvl w:ilvl="3" w:tplc="C1AED766">
      <w:start w:val="1"/>
      <w:numFmt w:val="bullet"/>
      <w:lvlText w:val="●"/>
      <w:lvlJc w:val="left"/>
      <w:pPr>
        <w:ind w:left="2880" w:hanging="360"/>
      </w:pPr>
    </w:lvl>
    <w:lvl w:ilvl="4" w:tplc="21CE4DB6">
      <w:start w:val="1"/>
      <w:numFmt w:val="bullet"/>
      <w:lvlText w:val="○"/>
      <w:lvlJc w:val="left"/>
      <w:pPr>
        <w:ind w:left="3600" w:hanging="360"/>
      </w:pPr>
    </w:lvl>
    <w:lvl w:ilvl="5" w:tplc="96C0B4CA">
      <w:start w:val="1"/>
      <w:numFmt w:val="bullet"/>
      <w:lvlText w:val="■"/>
      <w:lvlJc w:val="left"/>
      <w:pPr>
        <w:ind w:left="4320" w:hanging="360"/>
      </w:pPr>
    </w:lvl>
    <w:lvl w:ilvl="6" w:tplc="4DF63072">
      <w:start w:val="1"/>
      <w:numFmt w:val="bullet"/>
      <w:lvlText w:val="●"/>
      <w:lvlJc w:val="left"/>
      <w:pPr>
        <w:ind w:left="5040" w:hanging="360"/>
      </w:pPr>
    </w:lvl>
    <w:lvl w:ilvl="7" w:tplc="D890C8BC">
      <w:start w:val="1"/>
      <w:numFmt w:val="bullet"/>
      <w:lvlText w:val="●"/>
      <w:lvlJc w:val="left"/>
      <w:pPr>
        <w:ind w:left="5760" w:hanging="360"/>
      </w:pPr>
    </w:lvl>
    <w:lvl w:ilvl="8" w:tplc="547A34FE">
      <w:start w:val="1"/>
      <w:numFmt w:val="bullet"/>
      <w:lvlText w:val="●"/>
      <w:lvlJc w:val="left"/>
      <w:pPr>
        <w:ind w:left="6480" w:hanging="360"/>
      </w:pPr>
    </w:lvl>
  </w:abstractNum>
  <w:num w:numId="1">
    <w:abstractNumId w:val="2"/>
    <w:lvlOverride w:ilvl="0">
      <w:startOverride w:val="1"/>
    </w:lvlOverride>
  </w:num>
  <w:num w:numId="2">
    <w:abstractNumId w:val="0"/>
    <w:lvlOverride w:ilvl="0">
      <w:startOverride w:val="1"/>
    </w:lvlOverride>
  </w:num>
  <w:num w:numId="3">
    <w:abstractNumId w:val="1"/>
    <w:lvlOverride w:ilvl="0">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isplayBackgroundShape/>
  <w:defaultTabStop w:val="720"/>
  <w:characterSpacingControl w:val="doNotCompress"/>
  <w:footnotePr>
    <w:footnote w:id="0"/>
    <w:footnote w:id="1"/>
  </w:footnotePr>
  <w:endnotePr>
    <w:endnote w:id="0"/>
    <w:endnote w:id="1"/>
  </w:endnotePr>
  <w:compat/>
  <w:rsids>
    <w:rsidRoot w:val="00A854F0"/>
    <w:rsid w:val="00044F40"/>
    <w:rsid w:val="00103C9E"/>
    <w:rsid w:val="002078BC"/>
    <w:rsid w:val="00377A8F"/>
    <w:rsid w:val="003B77BE"/>
    <w:rsid w:val="003D0844"/>
    <w:rsid w:val="00591F71"/>
    <w:rsid w:val="008367AB"/>
    <w:rsid w:val="00921E94"/>
    <w:rsid w:val="00A854F0"/>
    <w:rsid w:val="00AA262A"/>
    <w:rsid w:val="00B770DC"/>
    <w:rsid w:val="00C01276"/>
    <w:rsid w:val="00C10175"/>
    <w:rsid w:val="00CB727F"/>
    <w:rsid w:val="00DF7E0A"/>
    <w:rsid w:val="00E1004B"/>
    <w:rsid w:val="00EA5600"/>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Arial" w:eastAsia="Arial" w:hAnsi="Arial" w:cs="Arial"/>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44F40"/>
  </w:style>
  <w:style w:type="paragraph" w:styleId="Heading1">
    <w:name w:val="heading 1"/>
    <w:qFormat/>
    <w:rsid w:val="00044F40"/>
    <w:pPr>
      <w:spacing w:before="360" w:after="120"/>
      <w:outlineLvl w:val="0"/>
    </w:pPr>
    <w:rPr>
      <w:b/>
      <w:bCs/>
      <w:color w:val="1A5C38"/>
      <w:sz w:val="30"/>
      <w:szCs w:val="30"/>
    </w:rPr>
  </w:style>
  <w:style w:type="paragraph" w:styleId="Heading2">
    <w:name w:val="heading 2"/>
    <w:qFormat/>
    <w:rsid w:val="00044F40"/>
    <w:pPr>
      <w:spacing w:before="240" w:after="80"/>
      <w:outlineLvl w:val="1"/>
    </w:pPr>
    <w:rPr>
      <w:b/>
      <w:bCs/>
      <w:color w:val="1A5C38"/>
      <w:sz w:val="26"/>
      <w:szCs w:val="26"/>
    </w:rPr>
  </w:style>
  <w:style w:type="paragraph" w:styleId="Heading3">
    <w:name w:val="heading 3"/>
    <w:qFormat/>
    <w:rsid w:val="00044F40"/>
    <w:pPr>
      <w:outlineLvl w:val="2"/>
    </w:pPr>
    <w:rPr>
      <w:color w:val="1F4D78"/>
      <w:sz w:val="24"/>
      <w:szCs w:val="24"/>
    </w:rPr>
  </w:style>
  <w:style w:type="paragraph" w:styleId="Heading4">
    <w:name w:val="heading 4"/>
    <w:qFormat/>
    <w:rsid w:val="00044F40"/>
    <w:pPr>
      <w:outlineLvl w:val="3"/>
    </w:pPr>
    <w:rPr>
      <w:i/>
      <w:iCs/>
      <w:color w:val="2E74B5"/>
    </w:rPr>
  </w:style>
  <w:style w:type="paragraph" w:styleId="Heading5">
    <w:name w:val="heading 5"/>
    <w:qFormat/>
    <w:rsid w:val="00044F40"/>
    <w:pPr>
      <w:outlineLvl w:val="4"/>
    </w:pPr>
    <w:rPr>
      <w:color w:val="2E74B5"/>
    </w:rPr>
  </w:style>
  <w:style w:type="paragraph" w:styleId="Heading6">
    <w:name w:val="heading 6"/>
    <w:qFormat/>
    <w:rsid w:val="00044F40"/>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qFormat/>
    <w:rsid w:val="00044F40"/>
    <w:rPr>
      <w:sz w:val="56"/>
      <w:szCs w:val="56"/>
    </w:rPr>
  </w:style>
  <w:style w:type="paragraph" w:customStyle="1" w:styleId="Strong1">
    <w:name w:val="Strong1"/>
    <w:qFormat/>
    <w:rsid w:val="00044F40"/>
    <w:rPr>
      <w:b/>
      <w:bCs/>
    </w:rPr>
  </w:style>
  <w:style w:type="paragraph" w:styleId="ListParagraph">
    <w:name w:val="List Paragraph"/>
    <w:qFormat/>
    <w:rsid w:val="00044F40"/>
  </w:style>
  <w:style w:type="character" w:styleId="Hyperlink">
    <w:name w:val="Hyperlink"/>
    <w:uiPriority w:val="99"/>
    <w:unhideWhenUsed/>
    <w:rsid w:val="00044F40"/>
    <w:rPr>
      <w:color w:val="0563C1"/>
      <w:u w:val="single"/>
    </w:rPr>
  </w:style>
  <w:style w:type="character" w:styleId="FootnoteReference">
    <w:name w:val="footnote reference"/>
    <w:uiPriority w:val="99"/>
    <w:semiHidden/>
    <w:unhideWhenUsed/>
    <w:rsid w:val="00044F40"/>
    <w:rPr>
      <w:vertAlign w:val="superscript"/>
    </w:rPr>
  </w:style>
  <w:style w:type="paragraph" w:styleId="FootnoteText">
    <w:name w:val="footnote text"/>
    <w:link w:val="FootnoteTextChar"/>
    <w:uiPriority w:val="99"/>
    <w:semiHidden/>
    <w:unhideWhenUsed/>
    <w:rsid w:val="00044F40"/>
    <w:rPr>
      <w:sz w:val="20"/>
      <w:szCs w:val="20"/>
    </w:rPr>
  </w:style>
  <w:style w:type="character" w:customStyle="1" w:styleId="FootnoteTextChar">
    <w:name w:val="Footnote Text Char"/>
    <w:link w:val="FootnoteText"/>
    <w:uiPriority w:val="99"/>
    <w:semiHidden/>
    <w:unhideWhenUsed/>
    <w:rsid w:val="00044F40"/>
    <w:rPr>
      <w:sz w:val="20"/>
      <w:szCs w:val="20"/>
    </w:rPr>
  </w:style>
  <w:style w:type="character" w:styleId="EndnoteReference">
    <w:name w:val="endnote reference"/>
    <w:uiPriority w:val="99"/>
    <w:semiHidden/>
    <w:unhideWhenUsed/>
    <w:rsid w:val="00044F40"/>
    <w:rPr>
      <w:vertAlign w:val="superscript"/>
    </w:rPr>
  </w:style>
  <w:style w:type="paragraph" w:styleId="EndnoteText">
    <w:name w:val="endnote text"/>
    <w:link w:val="EndnoteTextChar"/>
    <w:uiPriority w:val="99"/>
    <w:semiHidden/>
    <w:unhideWhenUsed/>
    <w:rsid w:val="00044F40"/>
    <w:rPr>
      <w:sz w:val="20"/>
      <w:szCs w:val="20"/>
    </w:rPr>
  </w:style>
  <w:style w:type="character" w:customStyle="1" w:styleId="EndnoteTextChar">
    <w:name w:val="Endnote Text Char"/>
    <w:link w:val="EndnoteText"/>
    <w:uiPriority w:val="99"/>
    <w:semiHidden/>
    <w:unhideWhenUsed/>
    <w:rsid w:val="00044F40"/>
    <w:rPr>
      <w:sz w:val="20"/>
      <w:szCs w:val="20"/>
    </w:rPr>
  </w:style>
  <w:style w:type="paragraph" w:styleId="Header">
    <w:name w:val="header"/>
    <w:basedOn w:val="Normal"/>
    <w:link w:val="HeaderChar"/>
    <w:uiPriority w:val="99"/>
    <w:unhideWhenUsed/>
    <w:rsid w:val="00CB727F"/>
    <w:pPr>
      <w:tabs>
        <w:tab w:val="center" w:pos="4680"/>
        <w:tab w:val="right" w:pos="9360"/>
      </w:tabs>
    </w:pPr>
  </w:style>
  <w:style w:type="character" w:customStyle="1" w:styleId="HeaderChar">
    <w:name w:val="Header Char"/>
    <w:basedOn w:val="DefaultParagraphFont"/>
    <w:link w:val="Header"/>
    <w:uiPriority w:val="99"/>
    <w:rsid w:val="00CB727F"/>
  </w:style>
  <w:style w:type="paragraph" w:styleId="Footer">
    <w:name w:val="footer"/>
    <w:basedOn w:val="Normal"/>
    <w:link w:val="FooterChar"/>
    <w:uiPriority w:val="99"/>
    <w:unhideWhenUsed/>
    <w:rsid w:val="00CB727F"/>
    <w:pPr>
      <w:tabs>
        <w:tab w:val="center" w:pos="4680"/>
        <w:tab w:val="right" w:pos="9360"/>
      </w:tabs>
    </w:pPr>
  </w:style>
  <w:style w:type="character" w:customStyle="1" w:styleId="FooterChar">
    <w:name w:val="Footer Char"/>
    <w:basedOn w:val="DefaultParagraphFont"/>
    <w:link w:val="Footer"/>
    <w:uiPriority w:val="99"/>
    <w:rsid w:val="00CB727F"/>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yperlink" Target="https://nbcpakistan.org.pk/ethical-clearance.html"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hyperlink" Target="https://nbcpakistan.org.pk/nbc-r.html" TargetMode="External"/><Relationship Id="rId4" Type="http://schemas.openxmlformats.org/officeDocument/2006/relationships/webSettings" Target="webSettings.xml"/><Relationship Id="rId9" Type="http://schemas.openxmlformats.org/officeDocument/2006/relationships/hyperlink" Target="https://nbcpakistan.org.pk/downloads.html"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TotalTime>
  <Pages>8</Pages>
  <Words>2051</Words>
  <Characters>11696</Characters>
  <Application>Microsoft Office Word</Application>
  <DocSecurity>0</DocSecurity>
  <Lines>97</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13720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NBCR PC</cp:lastModifiedBy>
  <cp:revision>12</cp:revision>
  <dcterms:created xsi:type="dcterms:W3CDTF">2026-06-15T07:09:00Z</dcterms:created>
  <dcterms:modified xsi:type="dcterms:W3CDTF">2026-06-15T07:49:00Z</dcterms:modified>
</cp:coreProperties>
</file>